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6798A" w14:textId="77777777" w:rsidR="00E46C7C" w:rsidRPr="00A53560" w:rsidRDefault="00E46C7C" w:rsidP="00E46C7C">
      <w:pPr>
        <w:jc w:val="center"/>
        <w:rPr>
          <w:rFonts w:ascii="Arial" w:hAnsi="Arial" w:cs="Arial"/>
          <w:b/>
          <w:bCs/>
          <w:color w:val="000000" w:themeColor="text1"/>
          <w:sz w:val="28"/>
          <w:szCs w:val="28"/>
          <w:u w:val="single"/>
        </w:rPr>
      </w:pPr>
      <w:r w:rsidRPr="00A53560">
        <w:rPr>
          <w:rFonts w:ascii="Arial" w:hAnsi="Arial" w:cs="Arial"/>
          <w:b/>
          <w:bCs/>
          <w:noProof/>
          <w:color w:val="000000" w:themeColor="text1"/>
        </w:rPr>
        <w:drawing>
          <wp:anchor distT="0" distB="0" distL="114300" distR="114300" simplePos="0" relativeHeight="251658240" behindDoc="0" locked="0" layoutInCell="1" allowOverlap="1" wp14:anchorId="15014A92" wp14:editId="6D96734A">
            <wp:simplePos x="0" y="0"/>
            <wp:positionH relativeFrom="column">
              <wp:posOffset>2264527</wp:posOffset>
            </wp:positionH>
            <wp:positionV relativeFrom="paragraph">
              <wp:posOffset>-740410</wp:posOffset>
            </wp:positionV>
            <wp:extent cx="1216800" cy="784800"/>
            <wp:effectExtent l="0" t="0" r="254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800" cy="784800"/>
                    </a:xfrm>
                    <a:prstGeom prst="rect">
                      <a:avLst/>
                    </a:prstGeom>
                  </pic:spPr>
                </pic:pic>
              </a:graphicData>
            </a:graphic>
            <wp14:sizeRelH relativeFrom="page">
              <wp14:pctWidth>0</wp14:pctWidth>
            </wp14:sizeRelH>
            <wp14:sizeRelV relativeFrom="page">
              <wp14:pctHeight>0</wp14:pctHeight>
            </wp14:sizeRelV>
          </wp:anchor>
        </w:drawing>
      </w:r>
    </w:p>
    <w:p w14:paraId="21D1678C" w14:textId="77777777" w:rsidR="00520769" w:rsidRPr="00A53560" w:rsidRDefault="00881E4C" w:rsidP="00E46C7C">
      <w:pPr>
        <w:jc w:val="center"/>
        <w:rPr>
          <w:rFonts w:ascii="Arial" w:hAnsi="Arial" w:cs="Arial"/>
          <w:b/>
          <w:bCs/>
          <w:color w:val="000000" w:themeColor="text1"/>
          <w:sz w:val="28"/>
          <w:szCs w:val="28"/>
          <w:u w:val="single"/>
        </w:rPr>
      </w:pPr>
      <w:r w:rsidRPr="00A53560">
        <w:rPr>
          <w:rFonts w:ascii="Arial" w:hAnsi="Arial" w:cs="Arial"/>
          <w:b/>
          <w:bCs/>
          <w:color w:val="000000" w:themeColor="text1"/>
          <w:sz w:val="28"/>
          <w:szCs w:val="28"/>
          <w:u w:val="single"/>
        </w:rPr>
        <w:t>Note</w:t>
      </w:r>
    </w:p>
    <w:p w14:paraId="797E2A1E" w14:textId="77777777" w:rsidR="00520769" w:rsidRPr="00A53560" w:rsidRDefault="00520769" w:rsidP="00E46C7C">
      <w:pPr>
        <w:jc w:val="center"/>
        <w:rPr>
          <w:rFonts w:ascii="Arial" w:hAnsi="Arial" w:cs="Arial"/>
          <w:color w:val="000000" w:themeColor="text1"/>
          <w:sz w:val="28"/>
          <w:szCs w:val="28"/>
        </w:rPr>
      </w:pPr>
    </w:p>
    <w:p w14:paraId="7822ACF1" w14:textId="7C787565" w:rsidR="00162876" w:rsidRPr="00A53560" w:rsidRDefault="00F70276" w:rsidP="00162876">
      <w:pPr>
        <w:jc w:val="center"/>
        <w:rPr>
          <w:rFonts w:ascii="Arial" w:hAnsi="Arial" w:cs="Arial"/>
          <w:color w:val="000000" w:themeColor="text1"/>
          <w:sz w:val="28"/>
          <w:szCs w:val="28"/>
        </w:rPr>
      </w:pPr>
      <w:r w:rsidRPr="00A53560">
        <w:rPr>
          <w:rFonts w:ascii="Arial" w:hAnsi="Arial" w:cs="Arial"/>
          <w:color w:val="000000" w:themeColor="text1"/>
          <w:sz w:val="28"/>
          <w:szCs w:val="28"/>
        </w:rPr>
        <w:t>Présentation d</w:t>
      </w:r>
      <w:r w:rsidR="00340F15" w:rsidRPr="00A53560">
        <w:rPr>
          <w:rFonts w:ascii="Arial" w:hAnsi="Arial" w:cs="Arial"/>
          <w:color w:val="000000" w:themeColor="text1"/>
          <w:sz w:val="28"/>
          <w:szCs w:val="28"/>
        </w:rPr>
        <w:t xml:space="preserve">u </w:t>
      </w:r>
      <w:r w:rsidR="00714072" w:rsidRPr="00A53560">
        <w:rPr>
          <w:rFonts w:ascii="Arial" w:hAnsi="Arial" w:cs="Arial"/>
          <w:color w:val="000000" w:themeColor="text1"/>
          <w:sz w:val="28"/>
          <w:szCs w:val="28"/>
        </w:rPr>
        <w:t>projet de loi « </w:t>
      </w:r>
      <w:r w:rsidR="00F52B2F" w:rsidRPr="00A53560">
        <w:rPr>
          <w:rFonts w:ascii="Arial" w:hAnsi="Arial" w:cs="Arial"/>
          <w:color w:val="000000" w:themeColor="text1"/>
          <w:sz w:val="28"/>
          <w:szCs w:val="28"/>
        </w:rPr>
        <w:t>4D</w:t>
      </w:r>
      <w:r w:rsidR="00714072" w:rsidRPr="00A53560">
        <w:rPr>
          <w:rFonts w:ascii="Arial" w:hAnsi="Arial" w:cs="Arial"/>
          <w:color w:val="000000" w:themeColor="text1"/>
          <w:sz w:val="28"/>
          <w:szCs w:val="28"/>
        </w:rPr>
        <w:t> »</w:t>
      </w:r>
    </w:p>
    <w:p w14:paraId="6551970E" w14:textId="77777777" w:rsidR="00520769" w:rsidRPr="00A53560" w:rsidRDefault="00520769" w:rsidP="00520769">
      <w:pPr>
        <w:pBdr>
          <w:bottom w:val="single" w:sz="6" w:space="1" w:color="auto"/>
        </w:pBdr>
        <w:jc w:val="both"/>
        <w:rPr>
          <w:rFonts w:ascii="Arial" w:hAnsi="Arial" w:cs="Arial"/>
          <w:b/>
          <w:bCs/>
          <w:color w:val="000000" w:themeColor="text1"/>
          <w:u w:val="single"/>
        </w:rPr>
      </w:pPr>
    </w:p>
    <w:p w14:paraId="061CD785" w14:textId="7337E420" w:rsidR="00B448CE" w:rsidRPr="00A53560" w:rsidRDefault="00B448CE">
      <w:pPr>
        <w:rPr>
          <w:rFonts w:ascii="Arial" w:hAnsi="Arial" w:cs="Arial"/>
          <w:color w:val="000000" w:themeColor="text1"/>
        </w:rPr>
      </w:pPr>
    </w:p>
    <w:p w14:paraId="423789E0" w14:textId="67B11FBA" w:rsidR="00F07431" w:rsidRPr="00A53560" w:rsidRDefault="00F07431">
      <w:pPr>
        <w:rPr>
          <w:rFonts w:ascii="Arial" w:hAnsi="Arial" w:cs="Arial"/>
          <w:color w:val="000000" w:themeColor="text1"/>
        </w:rPr>
      </w:pPr>
    </w:p>
    <w:tbl>
      <w:tblPr>
        <w:tblStyle w:val="Grilledutableau"/>
        <w:tblW w:w="9067" w:type="dxa"/>
        <w:tblLook w:val="04A0" w:firstRow="1" w:lastRow="0" w:firstColumn="1" w:lastColumn="0" w:noHBand="0" w:noVBand="1"/>
      </w:tblPr>
      <w:tblGrid>
        <w:gridCol w:w="9067"/>
      </w:tblGrid>
      <w:tr w:rsidR="00F07431" w:rsidRPr="00A53560" w14:paraId="217211E1" w14:textId="77777777" w:rsidTr="00F07431">
        <w:tc>
          <w:tcPr>
            <w:tcW w:w="9067" w:type="dxa"/>
          </w:tcPr>
          <w:p w14:paraId="4D233833" w14:textId="77777777" w:rsidR="00F07431" w:rsidRPr="00A53560" w:rsidRDefault="00F07431" w:rsidP="00F07431">
            <w:pPr>
              <w:rPr>
                <w:rFonts w:ascii="Arial" w:hAnsi="Arial" w:cs="Arial"/>
                <w:b/>
                <w:bCs/>
                <w:color w:val="000000" w:themeColor="text1"/>
              </w:rPr>
            </w:pPr>
            <w:r w:rsidRPr="00A53560">
              <w:rPr>
                <w:rFonts w:ascii="Arial" w:hAnsi="Arial" w:cs="Arial"/>
                <w:b/>
                <w:bCs/>
                <w:color w:val="000000" w:themeColor="text1"/>
              </w:rPr>
              <w:t>Le calendrier</w:t>
            </w:r>
          </w:p>
          <w:p w14:paraId="16322830" w14:textId="29683ED2" w:rsidR="00F07431" w:rsidRPr="00A53560" w:rsidRDefault="00F07431" w:rsidP="00F07431">
            <w:pPr>
              <w:pStyle w:val="Paragraphedeliste"/>
              <w:numPr>
                <w:ilvl w:val="0"/>
                <w:numId w:val="16"/>
              </w:numPr>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 xml:space="preserve">Le projet de loi relatif « à la différenciation, la décentralisation, la déconcentration et portant diverses mesures de simplification de l’action publique locale » </w:t>
            </w:r>
            <w:r w:rsidR="00F52B2F" w:rsidRPr="00A53560">
              <w:rPr>
                <w:rFonts w:ascii="Arial" w:eastAsia="Times New Roman" w:hAnsi="Arial" w:cs="Arial"/>
                <w:color w:val="000000" w:themeColor="text1"/>
                <w:lang w:eastAsia="fr-FR"/>
              </w:rPr>
              <w:t xml:space="preserve">a été transmis au </w:t>
            </w:r>
            <w:r w:rsidRPr="00A53560">
              <w:rPr>
                <w:rFonts w:ascii="Arial" w:eastAsia="Times New Roman" w:hAnsi="Arial" w:cs="Arial"/>
                <w:color w:val="000000" w:themeColor="text1"/>
                <w:lang w:eastAsia="fr-FR"/>
              </w:rPr>
              <w:t>Conseil d’État</w:t>
            </w:r>
            <w:r w:rsidR="00F52B2F" w:rsidRPr="00A53560">
              <w:rPr>
                <w:rFonts w:ascii="Arial" w:eastAsia="Times New Roman" w:hAnsi="Arial" w:cs="Arial"/>
                <w:color w:val="000000" w:themeColor="text1"/>
                <w:lang w:eastAsia="fr-FR"/>
              </w:rPr>
              <w:t xml:space="preserve"> le 18 février</w:t>
            </w:r>
            <w:r w:rsidRPr="00A53560">
              <w:rPr>
                <w:rFonts w:ascii="Arial" w:eastAsia="Times New Roman" w:hAnsi="Arial" w:cs="Arial"/>
                <w:color w:val="000000" w:themeColor="text1"/>
                <w:lang w:eastAsia="fr-FR"/>
              </w:rPr>
              <w:t> ;</w:t>
            </w:r>
          </w:p>
          <w:p w14:paraId="560DC7F5" w14:textId="58FA72C1" w:rsidR="00F07431" w:rsidRPr="00A53560" w:rsidRDefault="00F07431" w:rsidP="00F07431">
            <w:pPr>
              <w:pStyle w:val="Paragraphedeliste"/>
              <w:numPr>
                <w:ilvl w:val="0"/>
                <w:numId w:val="16"/>
              </w:numPr>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Les instances consultatives ont été saisies lundi 1</w:t>
            </w:r>
            <w:r w:rsidRPr="00A53560">
              <w:rPr>
                <w:rFonts w:ascii="Arial" w:eastAsia="Times New Roman" w:hAnsi="Arial" w:cs="Arial"/>
                <w:color w:val="000000" w:themeColor="text1"/>
                <w:vertAlign w:val="superscript"/>
                <w:lang w:eastAsia="fr-FR"/>
              </w:rPr>
              <w:t>er</w:t>
            </w:r>
            <w:r w:rsidRPr="00A53560">
              <w:rPr>
                <w:rFonts w:ascii="Arial" w:eastAsia="Times New Roman" w:hAnsi="Arial" w:cs="Arial"/>
                <w:color w:val="000000" w:themeColor="text1"/>
                <w:lang w:eastAsia="fr-FR"/>
              </w:rPr>
              <w:t xml:space="preserve"> mars, notamment le CSFPT et le CNEN ;</w:t>
            </w:r>
          </w:p>
          <w:p w14:paraId="72617FD5" w14:textId="4188209B" w:rsidR="00F07431" w:rsidRPr="00A53560" w:rsidRDefault="00F07431" w:rsidP="00F07431">
            <w:pPr>
              <w:pStyle w:val="Paragraphedeliste"/>
              <w:numPr>
                <w:ilvl w:val="0"/>
                <w:numId w:val="16"/>
              </w:numPr>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 xml:space="preserve">Le projet de loi devrait être présenté en Conseil des ministres au printemps. </w:t>
            </w:r>
          </w:p>
        </w:tc>
      </w:tr>
    </w:tbl>
    <w:p w14:paraId="111B1C1B" w14:textId="5812031C" w:rsidR="00F07431" w:rsidRPr="00A53560" w:rsidRDefault="00F07431">
      <w:pPr>
        <w:rPr>
          <w:rFonts w:ascii="Arial" w:hAnsi="Arial" w:cs="Arial"/>
          <w:color w:val="000000" w:themeColor="text1"/>
        </w:rPr>
      </w:pPr>
    </w:p>
    <w:p w14:paraId="539C5B19" w14:textId="0A57EA04" w:rsidR="0047268E" w:rsidRPr="00A53560" w:rsidRDefault="00F52B2F" w:rsidP="00C86704">
      <w:p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 xml:space="preserve">Le projet de loi comporte </w:t>
      </w:r>
      <w:r w:rsidRPr="00A53560">
        <w:rPr>
          <w:rFonts w:ascii="Arial" w:eastAsia="Times New Roman" w:hAnsi="Arial" w:cs="Arial"/>
          <w:b/>
          <w:bCs/>
          <w:color w:val="000000" w:themeColor="text1"/>
          <w:lang w:eastAsia="fr-FR"/>
        </w:rPr>
        <w:t>66 articles</w:t>
      </w:r>
      <w:r w:rsidRPr="00A53560">
        <w:rPr>
          <w:rFonts w:ascii="Arial" w:eastAsia="Times New Roman" w:hAnsi="Arial" w:cs="Arial"/>
          <w:color w:val="000000" w:themeColor="text1"/>
          <w:lang w:eastAsia="fr-FR"/>
        </w:rPr>
        <w:t xml:space="preserve"> dont l’ambition est rappelée dans l’exposé des motifs : « </w:t>
      </w:r>
      <w:r w:rsidRPr="00A53560">
        <w:rPr>
          <w:rFonts w:ascii="Arial" w:eastAsia="Times New Roman" w:hAnsi="Arial" w:cs="Arial"/>
          <w:i/>
          <w:iCs/>
          <w:color w:val="000000" w:themeColor="text1"/>
          <w:lang w:eastAsia="fr-FR"/>
        </w:rPr>
        <w:t>répondre aux besoins de proximité et d’efficacité exprimés par les élus et les citoyens ces dernières années</w:t>
      </w:r>
      <w:r w:rsidRPr="00A53560">
        <w:rPr>
          <w:rFonts w:ascii="Arial" w:eastAsia="Times New Roman" w:hAnsi="Arial" w:cs="Arial"/>
          <w:color w:val="000000" w:themeColor="text1"/>
          <w:lang w:eastAsia="fr-FR"/>
        </w:rPr>
        <w:t> ».</w:t>
      </w:r>
    </w:p>
    <w:p w14:paraId="69B94CE7" w14:textId="61D1CED6" w:rsidR="00F52B2F" w:rsidRPr="00A53560" w:rsidRDefault="00F52B2F" w:rsidP="00C86704">
      <w:pPr>
        <w:spacing w:before="100" w:beforeAutospacing="1" w:after="100" w:afterAutospacing="1"/>
        <w:jc w:val="both"/>
        <w:rPr>
          <w:rFonts w:ascii="Arial" w:eastAsia="Times New Roman" w:hAnsi="Arial" w:cs="Arial"/>
          <w:color w:val="000000" w:themeColor="text1"/>
          <w:u w:val="single"/>
          <w:lang w:eastAsia="fr-FR"/>
        </w:rPr>
      </w:pPr>
      <w:r w:rsidRPr="00A53560">
        <w:rPr>
          <w:rFonts w:ascii="Arial" w:eastAsia="Times New Roman" w:hAnsi="Arial" w:cs="Arial"/>
          <w:color w:val="000000" w:themeColor="text1"/>
          <w:u w:val="single"/>
          <w:lang w:eastAsia="fr-FR"/>
        </w:rPr>
        <w:t xml:space="preserve">Titre </w:t>
      </w:r>
      <w:r w:rsidR="002C1FFC">
        <w:rPr>
          <w:rFonts w:ascii="Arial" w:eastAsia="Times New Roman" w:hAnsi="Arial" w:cs="Arial"/>
          <w:color w:val="000000" w:themeColor="text1"/>
          <w:u w:val="single"/>
          <w:lang w:eastAsia="fr-FR"/>
        </w:rPr>
        <w:t>I</w:t>
      </w:r>
      <w:r w:rsidRPr="00A53560">
        <w:rPr>
          <w:rFonts w:ascii="Arial" w:eastAsia="Times New Roman" w:hAnsi="Arial" w:cs="Arial"/>
          <w:color w:val="000000" w:themeColor="text1"/>
          <w:u w:val="single"/>
          <w:lang w:eastAsia="fr-FR"/>
        </w:rPr>
        <w:t xml:space="preserve"> - La différenciation territoriale</w:t>
      </w:r>
    </w:p>
    <w:p w14:paraId="0DEECA67" w14:textId="248006B8" w:rsidR="00F52B2F" w:rsidRPr="00A53560" w:rsidRDefault="00F52B2F" w:rsidP="00C1546F">
      <w:pPr>
        <w:pStyle w:val="Paragraphedeliste"/>
        <w:numPr>
          <w:ilvl w:val="0"/>
          <w:numId w:val="17"/>
        </w:numPr>
        <w:autoSpaceDE w:val="0"/>
        <w:autoSpaceDN w:val="0"/>
        <w:adjustRightInd w:val="0"/>
        <w:jc w:val="both"/>
        <w:rPr>
          <w:rFonts w:ascii="Arial" w:hAnsi="Arial" w:cs="Arial"/>
          <w:color w:val="000000" w:themeColor="text1"/>
        </w:rPr>
      </w:pPr>
      <w:r w:rsidRPr="00A53560">
        <w:rPr>
          <w:rFonts w:ascii="Arial" w:eastAsia="Times New Roman" w:hAnsi="Arial" w:cs="Arial"/>
          <w:color w:val="000000" w:themeColor="text1"/>
          <w:lang w:eastAsia="fr-FR"/>
        </w:rPr>
        <w:t>L’article 1</w:t>
      </w:r>
      <w:r w:rsidRPr="00A53560">
        <w:rPr>
          <w:rFonts w:ascii="Arial" w:eastAsia="Times New Roman" w:hAnsi="Arial" w:cs="Arial"/>
          <w:color w:val="000000" w:themeColor="text1"/>
          <w:vertAlign w:val="superscript"/>
          <w:lang w:eastAsia="fr-FR"/>
        </w:rPr>
        <w:t>er</w:t>
      </w:r>
      <w:r w:rsidRPr="00A53560">
        <w:rPr>
          <w:rFonts w:ascii="Arial" w:eastAsia="Times New Roman" w:hAnsi="Arial" w:cs="Arial"/>
          <w:color w:val="000000" w:themeColor="text1"/>
          <w:lang w:eastAsia="fr-FR"/>
        </w:rPr>
        <w:t xml:space="preserve"> précise la définition de la différenciation : « </w:t>
      </w:r>
      <w:r w:rsidRPr="00A53560">
        <w:rPr>
          <w:rFonts w:ascii="Arial" w:hAnsi="Arial" w:cs="Arial"/>
          <w:i/>
          <w:iCs/>
          <w:color w:val="000000" w:themeColor="text1"/>
        </w:rPr>
        <w:t>Dans le cadre de l’attribution des compétences aux collectivités territoriales, le principe d'égalité ne fait pas obstacle à ce que la loi règle de façon différente des situations différentes, ni à ce qu'il soit dérogé à l'égalité pour des raisons d'intérêt général pourvu que, dans l'un et l'autre cas, la différence de traitement qui en résulte soit proportionnée et en rapport avec l'objet de la loi qui l'établit</w:t>
      </w:r>
      <w:r w:rsidRPr="00A53560">
        <w:rPr>
          <w:rFonts w:ascii="Arial" w:hAnsi="Arial" w:cs="Arial"/>
          <w:color w:val="000000" w:themeColor="text1"/>
        </w:rPr>
        <w:t> ».</w:t>
      </w:r>
    </w:p>
    <w:p w14:paraId="5E8E8FBE" w14:textId="1E2D5021" w:rsidR="00CE48A8" w:rsidRPr="00A53560" w:rsidRDefault="00CE48A8" w:rsidP="00F52B2F">
      <w:pPr>
        <w:autoSpaceDE w:val="0"/>
        <w:autoSpaceDN w:val="0"/>
        <w:adjustRightInd w:val="0"/>
        <w:jc w:val="both"/>
        <w:rPr>
          <w:rFonts w:ascii="Arial" w:hAnsi="Arial" w:cs="Arial"/>
          <w:color w:val="000000" w:themeColor="text1"/>
        </w:rPr>
      </w:pPr>
    </w:p>
    <w:p w14:paraId="7EC9C81D" w14:textId="7FD8BB34" w:rsidR="00CE48A8" w:rsidRPr="00A53560" w:rsidRDefault="00CE48A8" w:rsidP="00C1546F">
      <w:pPr>
        <w:pStyle w:val="Paragraphedeliste"/>
        <w:numPr>
          <w:ilvl w:val="0"/>
          <w:numId w:val="17"/>
        </w:numPr>
        <w:autoSpaceDE w:val="0"/>
        <w:autoSpaceDN w:val="0"/>
        <w:adjustRightInd w:val="0"/>
        <w:jc w:val="both"/>
        <w:rPr>
          <w:rFonts w:ascii="Arial" w:hAnsi="Arial" w:cs="Arial"/>
          <w:color w:val="000000" w:themeColor="text1"/>
        </w:rPr>
      </w:pPr>
      <w:r w:rsidRPr="00A53560">
        <w:rPr>
          <w:rFonts w:ascii="Arial" w:hAnsi="Arial" w:cs="Arial"/>
          <w:color w:val="000000" w:themeColor="text1"/>
        </w:rPr>
        <w:t xml:space="preserve">Toutefois, l’extension du pouvoir réglementaire local est explicitement réduite à quelques points de compétence : fixation du nombre d’élus au </w:t>
      </w:r>
      <w:r w:rsidR="000451DD" w:rsidRPr="00A53560">
        <w:rPr>
          <w:rFonts w:ascii="Arial" w:hAnsi="Arial" w:cs="Arial"/>
          <w:color w:val="000000" w:themeColor="text1"/>
        </w:rPr>
        <w:t>c</w:t>
      </w:r>
      <w:r w:rsidRPr="00A53560">
        <w:rPr>
          <w:rFonts w:ascii="Arial" w:hAnsi="Arial" w:cs="Arial"/>
          <w:color w:val="000000" w:themeColor="text1"/>
        </w:rPr>
        <w:t>onseil d’administration des CCAS et CIAS, délai de publication de la liste des terrains qui n’ont pas fait l’objet d’une mise en défens et du nombre de bestiaux admis au pâturage et au panage, facturation de redevance d’occupation pour travaux.</w:t>
      </w:r>
      <w:r w:rsidR="002C1FFC">
        <w:rPr>
          <w:rFonts w:ascii="Arial" w:hAnsi="Arial" w:cs="Arial"/>
          <w:color w:val="000000" w:themeColor="text1"/>
        </w:rPr>
        <w:t xml:space="preserve"> </w:t>
      </w:r>
      <w:r w:rsidR="002C1FFC" w:rsidRPr="002C1FFC">
        <w:rPr>
          <w:rFonts w:ascii="Arial" w:hAnsi="Arial" w:cs="Arial"/>
          <w:i/>
          <w:iCs/>
          <w:color w:val="000000" w:themeColor="text1"/>
          <w:sz w:val="20"/>
          <w:szCs w:val="20"/>
        </w:rPr>
        <w:t>Art.2</w:t>
      </w:r>
    </w:p>
    <w:p w14:paraId="4B67CF3D" w14:textId="1E0EF700" w:rsidR="00CE48A8" w:rsidRPr="00A53560" w:rsidRDefault="00CE48A8" w:rsidP="00F52B2F">
      <w:pPr>
        <w:autoSpaceDE w:val="0"/>
        <w:autoSpaceDN w:val="0"/>
        <w:adjustRightInd w:val="0"/>
        <w:jc w:val="both"/>
        <w:rPr>
          <w:rFonts w:ascii="Arial" w:hAnsi="Arial" w:cs="Arial"/>
          <w:color w:val="000000" w:themeColor="text1"/>
        </w:rPr>
      </w:pPr>
      <w:r w:rsidRPr="00A53560">
        <w:rPr>
          <w:rFonts w:ascii="Arial" w:hAnsi="Arial" w:cs="Arial"/>
          <w:color w:val="000000" w:themeColor="text1"/>
        </w:rPr>
        <w:t xml:space="preserve"> </w:t>
      </w:r>
    </w:p>
    <w:p w14:paraId="3F267538" w14:textId="63F17B15" w:rsidR="00CE48A8" w:rsidRPr="002C1FFC" w:rsidRDefault="00CE48A8" w:rsidP="00C1546F">
      <w:pPr>
        <w:pStyle w:val="Paragraphedeliste"/>
        <w:numPr>
          <w:ilvl w:val="0"/>
          <w:numId w:val="17"/>
        </w:numPr>
        <w:autoSpaceDE w:val="0"/>
        <w:autoSpaceDN w:val="0"/>
        <w:adjustRightInd w:val="0"/>
        <w:jc w:val="both"/>
        <w:rPr>
          <w:rFonts w:ascii="Arial" w:hAnsi="Arial" w:cs="Arial"/>
          <w:i/>
          <w:iCs/>
          <w:color w:val="000000" w:themeColor="text1"/>
          <w:sz w:val="20"/>
          <w:szCs w:val="20"/>
        </w:rPr>
      </w:pPr>
      <w:r w:rsidRPr="00A53560">
        <w:rPr>
          <w:rFonts w:ascii="Arial" w:hAnsi="Arial" w:cs="Arial"/>
          <w:color w:val="000000" w:themeColor="text1"/>
        </w:rPr>
        <w:t xml:space="preserve">Les Conférences territoriales de l’action publique (CTAP) évolueront avec la possibilité de délégations partielles de compétences entre collectivités </w:t>
      </w:r>
      <w:r w:rsidR="00C1546F" w:rsidRPr="00A53560">
        <w:rPr>
          <w:rFonts w:ascii="Arial" w:hAnsi="Arial" w:cs="Arial"/>
          <w:color w:val="000000" w:themeColor="text1"/>
        </w:rPr>
        <w:t xml:space="preserve">territoriales et EPCI </w:t>
      </w:r>
      <w:r w:rsidRPr="00A53560">
        <w:rPr>
          <w:rFonts w:ascii="Arial" w:hAnsi="Arial" w:cs="Arial"/>
          <w:color w:val="000000" w:themeColor="text1"/>
        </w:rPr>
        <w:t>« </w:t>
      </w:r>
      <w:r w:rsidRPr="00A53560">
        <w:rPr>
          <w:rFonts w:ascii="Arial" w:hAnsi="Arial" w:cs="Arial"/>
          <w:i/>
          <w:iCs/>
          <w:color w:val="000000" w:themeColor="text1"/>
        </w:rPr>
        <w:t>sur la base de la réalisation de projets structurants pour les territoires</w:t>
      </w:r>
      <w:r w:rsidRPr="00A53560">
        <w:rPr>
          <w:rFonts w:ascii="Arial" w:hAnsi="Arial" w:cs="Arial"/>
          <w:color w:val="000000" w:themeColor="text1"/>
        </w:rPr>
        <w:t xml:space="preserve"> ». </w:t>
      </w:r>
      <w:r w:rsidR="002C1FFC" w:rsidRPr="002C1FFC">
        <w:rPr>
          <w:rFonts w:ascii="Arial" w:hAnsi="Arial" w:cs="Arial"/>
          <w:i/>
          <w:iCs/>
          <w:color w:val="000000" w:themeColor="text1"/>
          <w:sz w:val="20"/>
          <w:szCs w:val="20"/>
        </w:rPr>
        <w:t>Art.3</w:t>
      </w:r>
    </w:p>
    <w:p w14:paraId="13BEA66B" w14:textId="14030DF2" w:rsidR="00CE48A8" w:rsidRPr="00A53560" w:rsidRDefault="00CE48A8" w:rsidP="00F52B2F">
      <w:pPr>
        <w:autoSpaceDE w:val="0"/>
        <w:autoSpaceDN w:val="0"/>
        <w:adjustRightInd w:val="0"/>
        <w:jc w:val="both"/>
        <w:rPr>
          <w:rFonts w:ascii="Arial" w:hAnsi="Arial" w:cs="Arial"/>
          <w:color w:val="000000" w:themeColor="text1"/>
        </w:rPr>
      </w:pPr>
    </w:p>
    <w:p w14:paraId="543AC3CC" w14:textId="55EAE284" w:rsidR="00CE48A8" w:rsidRPr="002C1FFC" w:rsidRDefault="00C1546F" w:rsidP="00F52B2F">
      <w:pPr>
        <w:pStyle w:val="Paragraphedeliste"/>
        <w:numPr>
          <w:ilvl w:val="0"/>
          <w:numId w:val="17"/>
        </w:numPr>
        <w:autoSpaceDE w:val="0"/>
        <w:autoSpaceDN w:val="0"/>
        <w:adjustRightInd w:val="0"/>
        <w:jc w:val="both"/>
        <w:rPr>
          <w:rFonts w:ascii="Arial" w:hAnsi="Arial" w:cs="Arial"/>
          <w:i/>
          <w:iCs/>
          <w:color w:val="000000" w:themeColor="text1"/>
          <w:sz w:val="20"/>
          <w:szCs w:val="20"/>
        </w:rPr>
      </w:pPr>
      <w:r w:rsidRPr="00A53560">
        <w:rPr>
          <w:rFonts w:ascii="Arial" w:hAnsi="Arial" w:cs="Arial"/>
          <w:color w:val="000000" w:themeColor="text1"/>
        </w:rPr>
        <w:t>Les seuils nécessaires pour demander l’inscription à l’ordre du jour de l’assemblée délibérante d’une consultation « </w:t>
      </w:r>
      <w:r w:rsidRPr="00A53560">
        <w:rPr>
          <w:rFonts w:ascii="Arial" w:hAnsi="Arial" w:cs="Arial"/>
          <w:i/>
          <w:iCs/>
          <w:color w:val="000000" w:themeColor="text1"/>
        </w:rPr>
        <w:t>sur toute affaire relevant de la décision de cette assemblée</w:t>
      </w:r>
      <w:r w:rsidRPr="00A53560">
        <w:rPr>
          <w:rFonts w:ascii="Arial" w:hAnsi="Arial" w:cs="Arial"/>
          <w:color w:val="000000" w:themeColor="text1"/>
        </w:rPr>
        <w:t> » sont abaissés. Ces proportions s</w:t>
      </w:r>
      <w:r w:rsidR="00513C5A" w:rsidRPr="00A53560">
        <w:rPr>
          <w:rFonts w:ascii="Arial" w:hAnsi="Arial" w:cs="Arial"/>
          <w:color w:val="000000" w:themeColor="text1"/>
        </w:rPr>
        <w:t>eron</w:t>
      </w:r>
      <w:r w:rsidRPr="00A53560">
        <w:rPr>
          <w:rFonts w:ascii="Arial" w:hAnsi="Arial" w:cs="Arial"/>
          <w:color w:val="000000" w:themeColor="text1"/>
        </w:rPr>
        <w:t xml:space="preserve">t </w:t>
      </w:r>
      <w:r w:rsidR="00513C5A" w:rsidRPr="00A53560">
        <w:rPr>
          <w:rFonts w:ascii="Arial" w:hAnsi="Arial" w:cs="Arial"/>
          <w:color w:val="000000" w:themeColor="text1"/>
        </w:rPr>
        <w:t xml:space="preserve">désormais </w:t>
      </w:r>
      <w:r w:rsidRPr="00A53560">
        <w:rPr>
          <w:rFonts w:ascii="Arial" w:hAnsi="Arial" w:cs="Arial"/>
          <w:color w:val="000000" w:themeColor="text1"/>
        </w:rPr>
        <w:t>de 1/10</w:t>
      </w:r>
      <w:r w:rsidRPr="00A53560">
        <w:rPr>
          <w:rFonts w:ascii="Arial" w:hAnsi="Arial" w:cs="Arial"/>
          <w:color w:val="000000" w:themeColor="text1"/>
          <w:vertAlign w:val="superscript"/>
        </w:rPr>
        <w:t>ème</w:t>
      </w:r>
      <w:r w:rsidRPr="00A53560">
        <w:rPr>
          <w:rFonts w:ascii="Arial" w:hAnsi="Arial" w:cs="Arial"/>
          <w:color w:val="000000" w:themeColor="text1"/>
        </w:rPr>
        <w:t xml:space="preserve"> des électeurs d’une commune et 1/20</w:t>
      </w:r>
      <w:r w:rsidRPr="00A53560">
        <w:rPr>
          <w:rFonts w:ascii="Arial" w:hAnsi="Arial" w:cs="Arial"/>
          <w:color w:val="000000" w:themeColor="text1"/>
          <w:vertAlign w:val="superscript"/>
        </w:rPr>
        <w:t>ème</w:t>
      </w:r>
      <w:r w:rsidRPr="00A53560">
        <w:rPr>
          <w:rFonts w:ascii="Arial" w:hAnsi="Arial" w:cs="Arial"/>
          <w:color w:val="000000" w:themeColor="text1"/>
        </w:rPr>
        <w:t xml:space="preserve"> des électeurs des autres collectivités (contre </w:t>
      </w:r>
      <w:r w:rsidR="00513C5A" w:rsidRPr="00A53560">
        <w:rPr>
          <w:rFonts w:ascii="Arial" w:hAnsi="Arial" w:cs="Arial"/>
          <w:color w:val="000000" w:themeColor="text1"/>
        </w:rPr>
        <w:t xml:space="preserve">actuellement </w:t>
      </w:r>
      <w:r w:rsidRPr="00A53560">
        <w:rPr>
          <w:rFonts w:ascii="Arial" w:hAnsi="Arial" w:cs="Arial"/>
          <w:color w:val="000000" w:themeColor="text1"/>
        </w:rPr>
        <w:t>1/5</w:t>
      </w:r>
      <w:r w:rsidRPr="00A53560">
        <w:rPr>
          <w:rFonts w:ascii="Arial" w:hAnsi="Arial" w:cs="Arial"/>
          <w:color w:val="000000" w:themeColor="text1"/>
          <w:vertAlign w:val="superscript"/>
        </w:rPr>
        <w:t>ème</w:t>
      </w:r>
      <w:r w:rsidRPr="00A53560">
        <w:rPr>
          <w:rFonts w:ascii="Arial" w:hAnsi="Arial" w:cs="Arial"/>
          <w:color w:val="000000" w:themeColor="text1"/>
        </w:rPr>
        <w:t xml:space="preserve"> </w:t>
      </w:r>
      <w:r w:rsidR="00513C5A" w:rsidRPr="00A53560">
        <w:rPr>
          <w:rFonts w:ascii="Arial" w:hAnsi="Arial" w:cs="Arial"/>
          <w:color w:val="000000" w:themeColor="text1"/>
        </w:rPr>
        <w:t>et 1/10</w:t>
      </w:r>
      <w:r w:rsidR="00513C5A" w:rsidRPr="00A53560">
        <w:rPr>
          <w:rFonts w:ascii="Arial" w:hAnsi="Arial" w:cs="Arial"/>
          <w:color w:val="000000" w:themeColor="text1"/>
          <w:vertAlign w:val="superscript"/>
        </w:rPr>
        <w:t>ème</w:t>
      </w:r>
      <w:r w:rsidR="00513C5A" w:rsidRPr="00A53560">
        <w:rPr>
          <w:rFonts w:ascii="Arial" w:hAnsi="Arial" w:cs="Arial"/>
          <w:color w:val="000000" w:themeColor="text1"/>
        </w:rPr>
        <w:t xml:space="preserve">). </w:t>
      </w:r>
      <w:r w:rsidR="002C1FFC" w:rsidRPr="002C1FFC">
        <w:rPr>
          <w:rFonts w:ascii="Arial" w:hAnsi="Arial" w:cs="Arial"/>
          <w:i/>
          <w:iCs/>
          <w:color w:val="000000" w:themeColor="text1"/>
          <w:sz w:val="20"/>
          <w:szCs w:val="20"/>
        </w:rPr>
        <w:t>Art.4</w:t>
      </w:r>
    </w:p>
    <w:p w14:paraId="46944DCD" w14:textId="2F00D3FF" w:rsidR="00513C5A" w:rsidRDefault="00513C5A" w:rsidP="00513C5A">
      <w:pPr>
        <w:pStyle w:val="Paragraphedeliste"/>
        <w:rPr>
          <w:rFonts w:ascii="Arial" w:hAnsi="Arial" w:cs="Arial"/>
          <w:color w:val="000000" w:themeColor="text1"/>
        </w:rPr>
      </w:pPr>
    </w:p>
    <w:p w14:paraId="4DD1A2A5" w14:textId="77777777" w:rsidR="002C1FFC" w:rsidRPr="00A53560" w:rsidRDefault="002C1FFC" w:rsidP="00513C5A">
      <w:pPr>
        <w:pStyle w:val="Paragraphedeliste"/>
        <w:rPr>
          <w:rFonts w:ascii="Arial" w:hAnsi="Arial" w:cs="Arial"/>
          <w:color w:val="000000" w:themeColor="text1"/>
        </w:rPr>
      </w:pPr>
    </w:p>
    <w:p w14:paraId="5E5A3AF2" w14:textId="0D6752E4" w:rsidR="00513C5A" w:rsidRPr="00A53560" w:rsidRDefault="00513C5A" w:rsidP="00513C5A">
      <w:pPr>
        <w:autoSpaceDE w:val="0"/>
        <w:autoSpaceDN w:val="0"/>
        <w:adjustRightInd w:val="0"/>
        <w:jc w:val="both"/>
        <w:rPr>
          <w:rFonts w:ascii="Arial" w:hAnsi="Arial" w:cs="Arial"/>
          <w:color w:val="000000" w:themeColor="text1"/>
        </w:rPr>
      </w:pPr>
    </w:p>
    <w:p w14:paraId="4FE3B7F7" w14:textId="5052EBEC" w:rsidR="00513C5A" w:rsidRPr="00A53560" w:rsidRDefault="00513C5A" w:rsidP="00513C5A">
      <w:pPr>
        <w:autoSpaceDE w:val="0"/>
        <w:autoSpaceDN w:val="0"/>
        <w:adjustRightInd w:val="0"/>
        <w:jc w:val="both"/>
        <w:rPr>
          <w:rFonts w:ascii="Arial" w:hAnsi="Arial" w:cs="Arial"/>
          <w:color w:val="000000" w:themeColor="text1"/>
          <w:u w:val="single"/>
        </w:rPr>
      </w:pPr>
      <w:r w:rsidRPr="00A53560">
        <w:rPr>
          <w:rFonts w:ascii="Arial" w:hAnsi="Arial" w:cs="Arial"/>
          <w:color w:val="000000" w:themeColor="text1"/>
          <w:u w:val="single"/>
        </w:rPr>
        <w:lastRenderedPageBreak/>
        <w:t xml:space="preserve">Titre </w:t>
      </w:r>
      <w:r w:rsidR="002C1FFC">
        <w:rPr>
          <w:rFonts w:ascii="Arial" w:hAnsi="Arial" w:cs="Arial"/>
          <w:color w:val="000000" w:themeColor="text1"/>
          <w:u w:val="single"/>
        </w:rPr>
        <w:t>II</w:t>
      </w:r>
      <w:r w:rsidRPr="00A53560">
        <w:rPr>
          <w:rFonts w:ascii="Arial" w:hAnsi="Arial" w:cs="Arial"/>
          <w:color w:val="000000" w:themeColor="text1"/>
          <w:u w:val="single"/>
        </w:rPr>
        <w:t xml:space="preserve"> – Écologie</w:t>
      </w:r>
    </w:p>
    <w:p w14:paraId="1F457CA9" w14:textId="4DC36F6E" w:rsidR="00513C5A" w:rsidRPr="00A53560" w:rsidRDefault="00513C5A" w:rsidP="00513C5A">
      <w:pPr>
        <w:autoSpaceDE w:val="0"/>
        <w:autoSpaceDN w:val="0"/>
        <w:adjustRightInd w:val="0"/>
        <w:jc w:val="both"/>
        <w:rPr>
          <w:rFonts w:ascii="Arial" w:hAnsi="Arial" w:cs="Arial"/>
          <w:color w:val="000000" w:themeColor="text1"/>
        </w:rPr>
      </w:pPr>
    </w:p>
    <w:p w14:paraId="5D96A401" w14:textId="67E45F70" w:rsidR="00513C5A" w:rsidRPr="00A53560" w:rsidRDefault="00513C5A" w:rsidP="00513C5A">
      <w:pPr>
        <w:pStyle w:val="Paragraphedeliste"/>
        <w:numPr>
          <w:ilvl w:val="0"/>
          <w:numId w:val="18"/>
        </w:numPr>
        <w:autoSpaceDE w:val="0"/>
        <w:autoSpaceDN w:val="0"/>
        <w:adjustRightInd w:val="0"/>
        <w:jc w:val="both"/>
        <w:rPr>
          <w:rFonts w:ascii="Arial" w:hAnsi="Arial" w:cs="Arial"/>
          <w:color w:val="000000" w:themeColor="text1"/>
        </w:rPr>
      </w:pPr>
      <w:r w:rsidRPr="00A53560">
        <w:rPr>
          <w:rFonts w:ascii="Arial" w:hAnsi="Arial" w:cs="Arial"/>
          <w:color w:val="000000" w:themeColor="text1"/>
        </w:rPr>
        <w:t>Le texte propose une clarification de la répartition des compétences et des qualités de chef de file entre les collectivités territoriales dans le domaine de la transition écologique. Pour les communes et EPCI, il renforce leur positionnement en matière « </w:t>
      </w:r>
      <w:r w:rsidRPr="00A53560">
        <w:rPr>
          <w:rFonts w:ascii="Arial" w:hAnsi="Arial" w:cs="Arial"/>
          <w:b/>
          <w:bCs/>
          <w:i/>
          <w:iCs/>
          <w:color w:val="000000" w:themeColor="text1"/>
        </w:rPr>
        <w:t>d’animation et de coordination de la transition énergétique au plan local, en lien avec les plans climat air énergie territoriaux et leurs compétences en matière de gestion de l’eau, de l’assainissement et de la gestion des déchets</w:t>
      </w:r>
      <w:r w:rsidRPr="00A53560">
        <w:rPr>
          <w:rFonts w:ascii="Arial" w:hAnsi="Arial" w:cs="Arial"/>
          <w:color w:val="000000" w:themeColor="text1"/>
        </w:rPr>
        <w:t xml:space="preserve"> ». </w:t>
      </w:r>
      <w:r w:rsidR="002C1FFC" w:rsidRPr="002C1FFC">
        <w:rPr>
          <w:rFonts w:ascii="Arial" w:hAnsi="Arial" w:cs="Arial"/>
          <w:i/>
          <w:iCs/>
          <w:color w:val="000000" w:themeColor="text1"/>
          <w:sz w:val="20"/>
          <w:szCs w:val="20"/>
        </w:rPr>
        <w:t>Art.5</w:t>
      </w:r>
    </w:p>
    <w:p w14:paraId="07223F9C" w14:textId="77777777" w:rsidR="00283808" w:rsidRPr="00A53560" w:rsidRDefault="00283808" w:rsidP="00283808">
      <w:pPr>
        <w:autoSpaceDE w:val="0"/>
        <w:autoSpaceDN w:val="0"/>
        <w:adjustRightInd w:val="0"/>
        <w:jc w:val="both"/>
        <w:rPr>
          <w:rFonts w:ascii="Arial" w:hAnsi="Arial" w:cs="Arial"/>
          <w:color w:val="000000" w:themeColor="text1"/>
        </w:rPr>
      </w:pPr>
    </w:p>
    <w:p w14:paraId="3CD0C1AA" w14:textId="7691BAAC" w:rsidR="00283808" w:rsidRPr="002C1FFC" w:rsidRDefault="00283808" w:rsidP="00283808">
      <w:pPr>
        <w:pStyle w:val="Paragraphedeliste"/>
        <w:numPr>
          <w:ilvl w:val="0"/>
          <w:numId w:val="18"/>
        </w:numPr>
        <w:autoSpaceDE w:val="0"/>
        <w:autoSpaceDN w:val="0"/>
        <w:adjustRightInd w:val="0"/>
        <w:jc w:val="both"/>
        <w:rPr>
          <w:rFonts w:ascii="Arial" w:hAnsi="Arial" w:cs="Arial"/>
          <w:i/>
          <w:iCs/>
          <w:color w:val="000000" w:themeColor="text1"/>
          <w:sz w:val="20"/>
          <w:szCs w:val="20"/>
        </w:rPr>
      </w:pPr>
      <w:r w:rsidRPr="00A53560">
        <w:rPr>
          <w:rFonts w:ascii="Arial" w:hAnsi="Arial" w:cs="Arial"/>
          <w:b/>
          <w:bCs/>
          <w:color w:val="000000" w:themeColor="text1"/>
        </w:rPr>
        <w:t xml:space="preserve">Une réforme de la gouvernance de l’ADEME est proposée en permettant à un représentant des EPCI de siéger au </w:t>
      </w:r>
      <w:r w:rsidR="000451DD" w:rsidRPr="00A53560">
        <w:rPr>
          <w:rFonts w:ascii="Arial" w:hAnsi="Arial" w:cs="Arial"/>
          <w:b/>
          <w:bCs/>
          <w:color w:val="000000" w:themeColor="text1"/>
        </w:rPr>
        <w:t>c</w:t>
      </w:r>
      <w:r w:rsidRPr="00A53560">
        <w:rPr>
          <w:rFonts w:ascii="Arial" w:hAnsi="Arial" w:cs="Arial"/>
          <w:b/>
          <w:bCs/>
          <w:color w:val="000000" w:themeColor="text1"/>
        </w:rPr>
        <w:t>onseil d’administration</w:t>
      </w:r>
      <w:r w:rsidRPr="00A53560">
        <w:rPr>
          <w:rFonts w:ascii="Arial" w:hAnsi="Arial" w:cs="Arial"/>
          <w:color w:val="000000" w:themeColor="text1"/>
        </w:rPr>
        <w:t xml:space="preserve">. </w:t>
      </w:r>
      <w:r w:rsidR="002C1FFC" w:rsidRPr="002C1FFC">
        <w:rPr>
          <w:rFonts w:ascii="Arial" w:hAnsi="Arial" w:cs="Arial"/>
          <w:i/>
          <w:iCs/>
          <w:color w:val="000000" w:themeColor="text1"/>
          <w:sz w:val="20"/>
          <w:szCs w:val="20"/>
        </w:rPr>
        <w:t>Art.11</w:t>
      </w:r>
    </w:p>
    <w:p w14:paraId="02A42472" w14:textId="77777777" w:rsidR="00283808" w:rsidRPr="00A53560" w:rsidRDefault="00283808" w:rsidP="00283808">
      <w:pPr>
        <w:pStyle w:val="Paragraphedeliste"/>
        <w:rPr>
          <w:rFonts w:ascii="Arial" w:hAnsi="Arial" w:cs="Arial"/>
          <w:color w:val="000000" w:themeColor="text1"/>
        </w:rPr>
      </w:pPr>
    </w:p>
    <w:p w14:paraId="1F43AF2D" w14:textId="04BECC39" w:rsidR="00283808" w:rsidRPr="002C1FFC" w:rsidRDefault="00283808" w:rsidP="00283808">
      <w:pPr>
        <w:pStyle w:val="Paragraphedeliste"/>
        <w:numPr>
          <w:ilvl w:val="0"/>
          <w:numId w:val="18"/>
        </w:numPr>
        <w:autoSpaceDE w:val="0"/>
        <w:autoSpaceDN w:val="0"/>
        <w:adjustRightInd w:val="0"/>
        <w:jc w:val="both"/>
        <w:rPr>
          <w:rFonts w:ascii="Arial" w:hAnsi="Arial" w:cs="Arial"/>
          <w:i/>
          <w:iCs/>
          <w:color w:val="000000" w:themeColor="text1"/>
          <w:sz w:val="20"/>
          <w:szCs w:val="20"/>
        </w:rPr>
      </w:pPr>
      <w:r w:rsidRPr="00A53560">
        <w:rPr>
          <w:rFonts w:ascii="Arial" w:hAnsi="Arial" w:cs="Arial"/>
          <w:color w:val="000000" w:themeColor="text1"/>
        </w:rPr>
        <w:t>Les pouvoirs de police du maire et du préfet dans les espaces naturels protégés sont renforcés avec la possibilité de réglementer ou d’interdire l’accès par arrêté motivé.</w:t>
      </w:r>
      <w:r w:rsidR="002C1FFC">
        <w:rPr>
          <w:rFonts w:ascii="Arial" w:hAnsi="Arial" w:cs="Arial"/>
          <w:color w:val="000000" w:themeColor="text1"/>
        </w:rPr>
        <w:t xml:space="preserve"> </w:t>
      </w:r>
      <w:r w:rsidR="002C1FFC" w:rsidRPr="002C1FFC">
        <w:rPr>
          <w:rFonts w:ascii="Arial" w:hAnsi="Arial" w:cs="Arial"/>
          <w:i/>
          <w:iCs/>
          <w:color w:val="000000" w:themeColor="text1"/>
          <w:sz w:val="20"/>
          <w:szCs w:val="20"/>
        </w:rPr>
        <w:t>Art.13</w:t>
      </w:r>
    </w:p>
    <w:p w14:paraId="30BF7AA4" w14:textId="77777777" w:rsidR="00283808" w:rsidRPr="00A53560" w:rsidRDefault="00283808" w:rsidP="00283808">
      <w:pPr>
        <w:autoSpaceDE w:val="0"/>
        <w:autoSpaceDN w:val="0"/>
        <w:adjustRightInd w:val="0"/>
        <w:jc w:val="both"/>
        <w:rPr>
          <w:rFonts w:ascii="Arial" w:hAnsi="Arial" w:cs="Arial"/>
          <w:color w:val="000000" w:themeColor="text1"/>
        </w:rPr>
      </w:pPr>
    </w:p>
    <w:p w14:paraId="5883291C" w14:textId="15E10898" w:rsidR="00513C5A" w:rsidRDefault="00283808" w:rsidP="00513C5A">
      <w:pPr>
        <w:autoSpaceDE w:val="0"/>
        <w:autoSpaceDN w:val="0"/>
        <w:adjustRightInd w:val="0"/>
        <w:jc w:val="both"/>
        <w:rPr>
          <w:rFonts w:ascii="Arial" w:hAnsi="Arial" w:cs="Arial"/>
          <w:b/>
          <w:bCs/>
          <w:color w:val="000000" w:themeColor="text1"/>
        </w:rPr>
      </w:pPr>
      <w:r w:rsidRPr="00A53560">
        <w:rPr>
          <w:rFonts w:ascii="Arial" w:hAnsi="Arial" w:cs="Arial"/>
          <w:b/>
          <w:bCs/>
          <w:color w:val="000000" w:themeColor="text1"/>
        </w:rPr>
        <w:t>Volet transport</w:t>
      </w:r>
    </w:p>
    <w:p w14:paraId="75136889" w14:textId="77777777" w:rsidR="002C1FFC" w:rsidRPr="00A53560" w:rsidRDefault="002C1FFC" w:rsidP="00513C5A">
      <w:pPr>
        <w:autoSpaceDE w:val="0"/>
        <w:autoSpaceDN w:val="0"/>
        <w:adjustRightInd w:val="0"/>
        <w:jc w:val="both"/>
        <w:rPr>
          <w:rFonts w:ascii="Arial" w:hAnsi="Arial" w:cs="Arial"/>
          <w:b/>
          <w:bCs/>
          <w:color w:val="000000" w:themeColor="text1"/>
        </w:rPr>
      </w:pPr>
    </w:p>
    <w:p w14:paraId="2CE3CFF2" w14:textId="65734A29" w:rsidR="003E7B76" w:rsidRPr="002C1FFC" w:rsidRDefault="00513C5A" w:rsidP="00513C5A">
      <w:pPr>
        <w:pStyle w:val="Paragraphedeliste"/>
        <w:numPr>
          <w:ilvl w:val="0"/>
          <w:numId w:val="18"/>
        </w:numPr>
        <w:autoSpaceDE w:val="0"/>
        <w:autoSpaceDN w:val="0"/>
        <w:adjustRightInd w:val="0"/>
        <w:jc w:val="both"/>
        <w:rPr>
          <w:rFonts w:ascii="Arial" w:hAnsi="Arial" w:cs="Arial"/>
          <w:i/>
          <w:iCs/>
          <w:color w:val="000000" w:themeColor="text1"/>
          <w:sz w:val="20"/>
          <w:szCs w:val="20"/>
        </w:rPr>
      </w:pPr>
      <w:r w:rsidRPr="00A53560">
        <w:rPr>
          <w:rFonts w:ascii="Arial" w:hAnsi="Arial" w:cs="Arial"/>
          <w:color w:val="000000" w:themeColor="text1"/>
        </w:rPr>
        <w:t>Plusieurs articles prévoient la décentralisation des routes nationales aux départements</w:t>
      </w:r>
      <w:r w:rsidR="003E7B76" w:rsidRPr="00A53560">
        <w:rPr>
          <w:rFonts w:ascii="Arial" w:hAnsi="Arial" w:cs="Arial"/>
          <w:color w:val="000000" w:themeColor="text1"/>
        </w:rPr>
        <w:t>, aux métropoles</w:t>
      </w:r>
      <w:r w:rsidRPr="00A53560">
        <w:rPr>
          <w:rFonts w:ascii="Arial" w:hAnsi="Arial" w:cs="Arial"/>
          <w:color w:val="000000" w:themeColor="text1"/>
        </w:rPr>
        <w:t xml:space="preserve"> et aux régions</w:t>
      </w:r>
      <w:r w:rsidR="003E7B76" w:rsidRPr="00A53560">
        <w:rPr>
          <w:rFonts w:ascii="Arial" w:hAnsi="Arial" w:cs="Arial"/>
          <w:color w:val="000000" w:themeColor="text1"/>
        </w:rPr>
        <w:t>, à titre expérimental pour ces dernières, ainsi que le transfert de la maitrise d’ouvrage d’une opération d’aménagement du réseau routier national.</w:t>
      </w:r>
      <w:r w:rsidR="002C1FFC">
        <w:rPr>
          <w:rFonts w:ascii="Arial" w:hAnsi="Arial" w:cs="Arial"/>
          <w:color w:val="000000" w:themeColor="text1"/>
        </w:rPr>
        <w:t xml:space="preserve"> </w:t>
      </w:r>
      <w:r w:rsidR="002C1FFC" w:rsidRPr="002C1FFC">
        <w:rPr>
          <w:rFonts w:ascii="Arial" w:hAnsi="Arial" w:cs="Arial"/>
          <w:i/>
          <w:iCs/>
          <w:color w:val="000000" w:themeColor="text1"/>
          <w:sz w:val="20"/>
          <w:szCs w:val="20"/>
        </w:rPr>
        <w:t>Art.6,</w:t>
      </w:r>
      <w:r w:rsidR="004A75F3">
        <w:rPr>
          <w:rFonts w:ascii="Arial" w:hAnsi="Arial" w:cs="Arial"/>
          <w:i/>
          <w:iCs/>
          <w:color w:val="000000" w:themeColor="text1"/>
          <w:sz w:val="20"/>
          <w:szCs w:val="20"/>
        </w:rPr>
        <w:t xml:space="preserve">7 et </w:t>
      </w:r>
      <w:r w:rsidR="002C1FFC" w:rsidRPr="002C1FFC">
        <w:rPr>
          <w:rFonts w:ascii="Arial" w:hAnsi="Arial" w:cs="Arial"/>
          <w:i/>
          <w:iCs/>
          <w:color w:val="000000" w:themeColor="text1"/>
          <w:sz w:val="20"/>
          <w:szCs w:val="20"/>
        </w:rPr>
        <w:t>8</w:t>
      </w:r>
    </w:p>
    <w:p w14:paraId="3AAD49B6" w14:textId="77777777" w:rsidR="003E7B76" w:rsidRPr="00A53560" w:rsidRDefault="003E7B76" w:rsidP="003E7B76">
      <w:pPr>
        <w:pStyle w:val="Paragraphedeliste"/>
        <w:rPr>
          <w:rFonts w:ascii="Arial" w:hAnsi="Arial" w:cs="Arial"/>
          <w:color w:val="000000" w:themeColor="text1"/>
        </w:rPr>
      </w:pPr>
    </w:p>
    <w:p w14:paraId="73FE0441" w14:textId="6AB3C853" w:rsidR="003E7B76" w:rsidRPr="002C1FFC" w:rsidRDefault="003E7B76" w:rsidP="00513C5A">
      <w:pPr>
        <w:pStyle w:val="Paragraphedeliste"/>
        <w:numPr>
          <w:ilvl w:val="0"/>
          <w:numId w:val="18"/>
        </w:numPr>
        <w:autoSpaceDE w:val="0"/>
        <w:autoSpaceDN w:val="0"/>
        <w:adjustRightInd w:val="0"/>
        <w:jc w:val="both"/>
        <w:rPr>
          <w:rFonts w:ascii="Arial" w:hAnsi="Arial" w:cs="Arial"/>
          <w:i/>
          <w:iCs/>
          <w:color w:val="000000" w:themeColor="text1"/>
          <w:sz w:val="20"/>
          <w:szCs w:val="20"/>
        </w:rPr>
      </w:pPr>
      <w:r w:rsidRPr="00A53560">
        <w:rPr>
          <w:rFonts w:ascii="Arial" w:hAnsi="Arial" w:cs="Arial"/>
          <w:color w:val="000000" w:themeColor="text1"/>
        </w:rPr>
        <w:t xml:space="preserve">En matière de transport ferroviaire, le transfert de gestion de lignes et de gares aux régions s’ouvre. </w:t>
      </w:r>
      <w:r w:rsidR="002C1FFC" w:rsidRPr="002C1FFC">
        <w:rPr>
          <w:rFonts w:ascii="Arial" w:hAnsi="Arial" w:cs="Arial"/>
          <w:i/>
          <w:iCs/>
          <w:color w:val="000000" w:themeColor="text1"/>
          <w:sz w:val="20"/>
          <w:szCs w:val="20"/>
        </w:rPr>
        <w:t>Art.9</w:t>
      </w:r>
    </w:p>
    <w:p w14:paraId="72F62C0B" w14:textId="77777777" w:rsidR="003E7B76" w:rsidRPr="00A53560" w:rsidRDefault="003E7B76" w:rsidP="003E7B76">
      <w:pPr>
        <w:pStyle w:val="Paragraphedeliste"/>
        <w:rPr>
          <w:rFonts w:ascii="Arial" w:hAnsi="Arial" w:cs="Arial"/>
          <w:color w:val="000000" w:themeColor="text1"/>
        </w:rPr>
      </w:pPr>
    </w:p>
    <w:p w14:paraId="7B522712" w14:textId="4CF1ABB3" w:rsidR="00513C5A" w:rsidRPr="002C1FFC" w:rsidRDefault="003E7B76" w:rsidP="00283808">
      <w:pPr>
        <w:pStyle w:val="Paragraphedeliste"/>
        <w:numPr>
          <w:ilvl w:val="0"/>
          <w:numId w:val="18"/>
        </w:numPr>
        <w:autoSpaceDE w:val="0"/>
        <w:autoSpaceDN w:val="0"/>
        <w:adjustRightInd w:val="0"/>
        <w:jc w:val="both"/>
        <w:rPr>
          <w:rFonts w:ascii="Arial" w:hAnsi="Arial" w:cs="Arial"/>
          <w:i/>
          <w:iCs/>
          <w:color w:val="000000" w:themeColor="text1"/>
          <w:sz w:val="20"/>
          <w:szCs w:val="20"/>
        </w:rPr>
      </w:pPr>
      <w:r w:rsidRPr="00A53560">
        <w:rPr>
          <w:rFonts w:ascii="Arial" w:hAnsi="Arial" w:cs="Arial"/>
          <w:b/>
          <w:bCs/>
          <w:color w:val="000000" w:themeColor="text1"/>
        </w:rPr>
        <w:t>Les collectivités territoriales et leurs groupements auront la possibilité d’installer des radars automatiques</w:t>
      </w:r>
      <w:r w:rsidRPr="00A53560">
        <w:rPr>
          <w:rFonts w:ascii="Arial" w:hAnsi="Arial" w:cs="Arial"/>
          <w:color w:val="000000" w:themeColor="text1"/>
        </w:rPr>
        <w:t>. « </w:t>
      </w:r>
      <w:r w:rsidRPr="00A53560">
        <w:rPr>
          <w:rFonts w:ascii="Arial" w:hAnsi="Arial" w:cs="Arial"/>
          <w:i/>
          <w:iCs/>
          <w:color w:val="000000" w:themeColor="text1"/>
        </w:rPr>
        <w:t>Les conditions de leur installation et les modalités de traitement des constatations effectuées par ces appareils par les agents de police municipale ou par les gardes champêtres sont définies par décret en Conseil d’État</w:t>
      </w:r>
      <w:r w:rsidRPr="00A53560">
        <w:rPr>
          <w:rFonts w:ascii="Arial" w:hAnsi="Arial" w:cs="Arial"/>
          <w:color w:val="000000" w:themeColor="text1"/>
        </w:rPr>
        <w:t> ».</w:t>
      </w:r>
      <w:r w:rsidR="002C1FFC">
        <w:rPr>
          <w:rFonts w:ascii="Arial" w:hAnsi="Arial" w:cs="Arial"/>
          <w:color w:val="000000" w:themeColor="text1"/>
        </w:rPr>
        <w:t xml:space="preserve"> </w:t>
      </w:r>
      <w:r w:rsidR="002C1FFC" w:rsidRPr="002C1FFC">
        <w:rPr>
          <w:rFonts w:ascii="Arial" w:hAnsi="Arial" w:cs="Arial"/>
          <w:i/>
          <w:iCs/>
          <w:color w:val="000000" w:themeColor="text1"/>
          <w:sz w:val="20"/>
          <w:szCs w:val="20"/>
        </w:rPr>
        <w:t>Art.10</w:t>
      </w:r>
    </w:p>
    <w:p w14:paraId="3AB96DB4" w14:textId="77777777" w:rsidR="00283808" w:rsidRPr="00A53560" w:rsidRDefault="00283808" w:rsidP="00283808">
      <w:pPr>
        <w:autoSpaceDE w:val="0"/>
        <w:autoSpaceDN w:val="0"/>
        <w:adjustRightInd w:val="0"/>
        <w:jc w:val="both"/>
        <w:rPr>
          <w:rFonts w:ascii="Arial" w:hAnsi="Arial" w:cs="Arial"/>
          <w:color w:val="000000" w:themeColor="text1"/>
        </w:rPr>
      </w:pPr>
    </w:p>
    <w:p w14:paraId="19B52FA1" w14:textId="049E4E41" w:rsidR="003E7B76" w:rsidRDefault="00283808" w:rsidP="00283808">
      <w:pPr>
        <w:jc w:val="both"/>
        <w:rPr>
          <w:rFonts w:ascii="Arial" w:hAnsi="Arial" w:cs="Arial"/>
          <w:b/>
          <w:bCs/>
          <w:color w:val="000000" w:themeColor="text1"/>
        </w:rPr>
      </w:pPr>
      <w:r w:rsidRPr="00A53560">
        <w:rPr>
          <w:rFonts w:ascii="Arial" w:hAnsi="Arial" w:cs="Arial"/>
          <w:b/>
          <w:bCs/>
          <w:color w:val="000000" w:themeColor="text1"/>
        </w:rPr>
        <w:t xml:space="preserve">Volet logement </w:t>
      </w:r>
    </w:p>
    <w:p w14:paraId="482CB81A" w14:textId="77777777" w:rsidR="002C1FFC" w:rsidRPr="00A53560" w:rsidRDefault="002C1FFC" w:rsidP="00283808">
      <w:pPr>
        <w:jc w:val="both"/>
        <w:rPr>
          <w:rFonts w:ascii="Arial" w:hAnsi="Arial" w:cs="Arial"/>
          <w:b/>
          <w:bCs/>
          <w:color w:val="000000" w:themeColor="text1"/>
        </w:rPr>
      </w:pPr>
    </w:p>
    <w:p w14:paraId="0E006142" w14:textId="62B51D36" w:rsidR="00283808" w:rsidRPr="002C1FFC" w:rsidRDefault="003E7B76" w:rsidP="00283808">
      <w:pPr>
        <w:pStyle w:val="Paragraphedeliste"/>
        <w:numPr>
          <w:ilvl w:val="0"/>
          <w:numId w:val="18"/>
        </w:numPr>
        <w:autoSpaceDE w:val="0"/>
        <w:autoSpaceDN w:val="0"/>
        <w:adjustRightInd w:val="0"/>
        <w:jc w:val="both"/>
        <w:rPr>
          <w:rFonts w:ascii="Arial" w:hAnsi="Arial" w:cs="Arial"/>
          <w:i/>
          <w:iCs/>
          <w:color w:val="000000" w:themeColor="text1"/>
          <w:sz w:val="20"/>
          <w:szCs w:val="20"/>
        </w:rPr>
      </w:pPr>
      <w:r w:rsidRPr="00A53560">
        <w:rPr>
          <w:rFonts w:ascii="Arial" w:hAnsi="Arial" w:cs="Arial"/>
          <w:b/>
          <w:bCs/>
          <w:color w:val="000000" w:themeColor="text1"/>
        </w:rPr>
        <w:t xml:space="preserve">Un article acte le prolongement </w:t>
      </w:r>
      <w:r w:rsidR="00C03F39" w:rsidRPr="00A53560">
        <w:rPr>
          <w:rFonts w:ascii="Arial" w:hAnsi="Arial" w:cs="Arial"/>
          <w:b/>
          <w:bCs/>
          <w:color w:val="000000" w:themeColor="text1"/>
        </w:rPr>
        <w:t>de 2025 à</w:t>
      </w:r>
      <w:r w:rsidRPr="00A53560">
        <w:rPr>
          <w:rFonts w:ascii="Arial" w:hAnsi="Arial" w:cs="Arial"/>
          <w:b/>
          <w:bCs/>
          <w:color w:val="000000" w:themeColor="text1"/>
        </w:rPr>
        <w:t xml:space="preserve"> 2031 du </w:t>
      </w:r>
      <w:r w:rsidR="00C03F39" w:rsidRPr="00A53560">
        <w:rPr>
          <w:rFonts w:ascii="Arial" w:hAnsi="Arial" w:cs="Arial"/>
          <w:b/>
          <w:bCs/>
          <w:color w:val="000000" w:themeColor="text1"/>
        </w:rPr>
        <w:t>dispositif</w:t>
      </w:r>
      <w:r w:rsidRPr="00A53560">
        <w:rPr>
          <w:rFonts w:ascii="Arial" w:hAnsi="Arial" w:cs="Arial"/>
          <w:b/>
          <w:bCs/>
          <w:color w:val="000000" w:themeColor="text1"/>
        </w:rPr>
        <w:t xml:space="preserve"> de la loi S</w:t>
      </w:r>
      <w:r w:rsidR="00C03F39" w:rsidRPr="00A53560">
        <w:rPr>
          <w:rFonts w:ascii="Arial" w:hAnsi="Arial" w:cs="Arial"/>
          <w:b/>
          <w:bCs/>
          <w:color w:val="000000" w:themeColor="text1"/>
        </w:rPr>
        <w:t>R</w:t>
      </w:r>
      <w:r w:rsidRPr="00A53560">
        <w:rPr>
          <w:rFonts w:ascii="Arial" w:hAnsi="Arial" w:cs="Arial"/>
          <w:b/>
          <w:bCs/>
          <w:color w:val="000000" w:themeColor="text1"/>
        </w:rPr>
        <w:t>U visant à atteindre un taux de 25% de logements sociaux (20%</w:t>
      </w:r>
      <w:r w:rsidR="00C03F39" w:rsidRPr="00A53560">
        <w:rPr>
          <w:rFonts w:ascii="Arial" w:hAnsi="Arial" w:cs="Arial"/>
          <w:b/>
          <w:bCs/>
          <w:color w:val="000000" w:themeColor="text1"/>
        </w:rPr>
        <w:t xml:space="preserve"> pour les communes assujetties)</w:t>
      </w:r>
      <w:r w:rsidR="00C03F39" w:rsidRPr="00A53560">
        <w:rPr>
          <w:rFonts w:ascii="Arial" w:hAnsi="Arial" w:cs="Arial"/>
          <w:color w:val="000000" w:themeColor="text1"/>
        </w:rPr>
        <w:t>.</w:t>
      </w:r>
      <w:r w:rsidR="002C1FFC">
        <w:rPr>
          <w:rFonts w:ascii="Arial" w:hAnsi="Arial" w:cs="Arial"/>
          <w:color w:val="000000" w:themeColor="text1"/>
        </w:rPr>
        <w:t xml:space="preserve"> </w:t>
      </w:r>
      <w:r w:rsidR="002C1FFC" w:rsidRPr="002C1FFC">
        <w:rPr>
          <w:rFonts w:ascii="Arial" w:hAnsi="Arial" w:cs="Arial"/>
          <w:i/>
          <w:iCs/>
          <w:color w:val="000000" w:themeColor="text1"/>
          <w:sz w:val="20"/>
          <w:szCs w:val="20"/>
        </w:rPr>
        <w:t>Art.14</w:t>
      </w:r>
    </w:p>
    <w:p w14:paraId="73190720" w14:textId="77777777" w:rsidR="00283808" w:rsidRPr="00A53560" w:rsidRDefault="00283808" w:rsidP="00283808">
      <w:pPr>
        <w:autoSpaceDE w:val="0"/>
        <w:autoSpaceDN w:val="0"/>
        <w:adjustRightInd w:val="0"/>
        <w:jc w:val="both"/>
        <w:rPr>
          <w:rFonts w:ascii="Arial" w:hAnsi="Arial" w:cs="Arial"/>
          <w:color w:val="000000" w:themeColor="text1"/>
        </w:rPr>
      </w:pPr>
    </w:p>
    <w:p w14:paraId="49207697" w14:textId="30F40719" w:rsidR="00283808" w:rsidRPr="002C1FFC" w:rsidRDefault="00C03F39" w:rsidP="00283808">
      <w:pPr>
        <w:pStyle w:val="Paragraphedeliste"/>
        <w:numPr>
          <w:ilvl w:val="0"/>
          <w:numId w:val="18"/>
        </w:numPr>
        <w:autoSpaceDE w:val="0"/>
        <w:autoSpaceDN w:val="0"/>
        <w:adjustRightInd w:val="0"/>
        <w:jc w:val="both"/>
        <w:rPr>
          <w:rFonts w:ascii="Arial" w:hAnsi="Arial" w:cs="Arial"/>
          <w:i/>
          <w:iCs/>
          <w:color w:val="000000" w:themeColor="text1"/>
          <w:sz w:val="20"/>
          <w:szCs w:val="20"/>
        </w:rPr>
      </w:pPr>
      <w:r w:rsidRPr="00A53560">
        <w:rPr>
          <w:rFonts w:ascii="Arial" w:hAnsi="Arial" w:cs="Arial"/>
          <w:b/>
          <w:bCs/>
          <w:color w:val="000000" w:themeColor="text1"/>
        </w:rPr>
        <w:t xml:space="preserve">Le texte </w:t>
      </w:r>
      <w:r w:rsidR="00283808" w:rsidRPr="00A53560">
        <w:rPr>
          <w:rFonts w:ascii="Arial" w:hAnsi="Arial" w:cs="Arial"/>
          <w:b/>
          <w:bCs/>
          <w:color w:val="000000" w:themeColor="text1"/>
        </w:rPr>
        <w:t>conforte le rôle des EPCI dans la définition des objectifs de mixité sociale dans le cadre des attributions de logements sociaux</w:t>
      </w:r>
      <w:r w:rsidR="00283808" w:rsidRPr="00A53560">
        <w:rPr>
          <w:rFonts w:ascii="Arial" w:hAnsi="Arial" w:cs="Arial"/>
          <w:color w:val="000000" w:themeColor="text1"/>
        </w:rPr>
        <w:t xml:space="preserve"> : </w:t>
      </w:r>
      <w:r w:rsidR="00283808" w:rsidRPr="00A53560">
        <w:rPr>
          <w:rFonts w:ascii="Arial" w:eastAsia="Times New Roman" w:hAnsi="Arial" w:cs="Arial"/>
          <w:color w:val="000000" w:themeColor="text1"/>
          <w:shd w:val="clear" w:color="auto" w:fill="FFFFFF"/>
          <w:lang w:eastAsia="fr-FR"/>
        </w:rPr>
        <w:t xml:space="preserve">en l’absence de convention intercommunale d’attribution, celles-ci pourront fixer à chaque bailleur social et à chaque réservataire (État, collectivités) des objectifs d’attribution de logements pour les ménages aux revenus les plus faibles, hors des quartiers prioritaires de la politique de la ville. </w:t>
      </w:r>
      <w:r w:rsidR="00283808" w:rsidRPr="00A53560">
        <w:rPr>
          <w:rFonts w:ascii="Arial" w:hAnsi="Arial" w:cs="Arial"/>
          <w:color w:val="000000" w:themeColor="text1"/>
        </w:rPr>
        <w:t>L’article confère également aux EPCI la faculté de faciliter l’accès au logement pour des personnes exerçant une activité professionnelle essentielle à la vie du territoire. Un décret en Conseil d’État en précisera les modalités.</w:t>
      </w:r>
      <w:r w:rsidR="002C1FFC">
        <w:rPr>
          <w:rFonts w:ascii="Arial" w:hAnsi="Arial" w:cs="Arial"/>
          <w:color w:val="000000" w:themeColor="text1"/>
        </w:rPr>
        <w:t xml:space="preserve"> </w:t>
      </w:r>
      <w:r w:rsidR="002C1FFC" w:rsidRPr="002C1FFC">
        <w:rPr>
          <w:rFonts w:ascii="Arial" w:hAnsi="Arial" w:cs="Arial"/>
          <w:i/>
          <w:iCs/>
          <w:color w:val="000000" w:themeColor="text1"/>
          <w:sz w:val="20"/>
          <w:szCs w:val="20"/>
        </w:rPr>
        <w:t>Art.15</w:t>
      </w:r>
    </w:p>
    <w:p w14:paraId="6CC5A9BC" w14:textId="77777777" w:rsidR="002C1FFC" w:rsidRPr="002C1FFC" w:rsidRDefault="002C1FFC" w:rsidP="002C1FFC">
      <w:pPr>
        <w:pStyle w:val="Paragraphedeliste"/>
        <w:rPr>
          <w:rFonts w:ascii="Arial" w:hAnsi="Arial" w:cs="Arial"/>
          <w:color w:val="000000" w:themeColor="text1"/>
        </w:rPr>
      </w:pPr>
    </w:p>
    <w:p w14:paraId="6C0A9366" w14:textId="77777777" w:rsidR="002C1FFC" w:rsidRPr="002C1FFC" w:rsidRDefault="002C1FFC" w:rsidP="002C1FFC">
      <w:pPr>
        <w:autoSpaceDE w:val="0"/>
        <w:autoSpaceDN w:val="0"/>
        <w:adjustRightInd w:val="0"/>
        <w:jc w:val="both"/>
        <w:rPr>
          <w:rFonts w:ascii="Arial" w:hAnsi="Arial" w:cs="Arial"/>
          <w:color w:val="000000" w:themeColor="text1"/>
        </w:rPr>
      </w:pPr>
    </w:p>
    <w:p w14:paraId="7D726B6C" w14:textId="77777777" w:rsidR="00283808" w:rsidRPr="00A53560" w:rsidRDefault="00283808" w:rsidP="00283808">
      <w:pPr>
        <w:pStyle w:val="Paragraphedeliste"/>
        <w:jc w:val="both"/>
        <w:rPr>
          <w:rFonts w:ascii="Arial" w:hAnsi="Arial" w:cs="Arial"/>
          <w:color w:val="000000" w:themeColor="text1"/>
        </w:rPr>
      </w:pPr>
    </w:p>
    <w:p w14:paraId="402CE9DC" w14:textId="6042F1EF" w:rsidR="00283808" w:rsidRPr="002C1FFC" w:rsidRDefault="00283808" w:rsidP="00283808">
      <w:pPr>
        <w:pStyle w:val="Paragraphedeliste"/>
        <w:numPr>
          <w:ilvl w:val="0"/>
          <w:numId w:val="18"/>
        </w:numPr>
        <w:autoSpaceDE w:val="0"/>
        <w:autoSpaceDN w:val="0"/>
        <w:adjustRightInd w:val="0"/>
        <w:jc w:val="both"/>
        <w:rPr>
          <w:rFonts w:ascii="Arial" w:hAnsi="Arial" w:cs="Arial"/>
          <w:i/>
          <w:iCs/>
          <w:color w:val="000000" w:themeColor="text1"/>
          <w:sz w:val="20"/>
          <w:szCs w:val="20"/>
        </w:rPr>
      </w:pPr>
      <w:r w:rsidRPr="00A53560">
        <w:rPr>
          <w:rFonts w:ascii="Arial" w:hAnsi="Arial" w:cs="Arial"/>
          <w:color w:val="000000" w:themeColor="text1"/>
        </w:rPr>
        <w:t xml:space="preserve">A titre expérimental, </w:t>
      </w:r>
      <w:r w:rsidRPr="00A53560">
        <w:rPr>
          <w:rFonts w:ascii="Arial" w:eastAsia="Times New Roman" w:hAnsi="Arial" w:cs="Arial"/>
          <w:color w:val="000000" w:themeColor="text1"/>
          <w:shd w:val="clear" w:color="auto" w:fill="FFFFFF"/>
          <w:lang w:eastAsia="fr-FR"/>
        </w:rPr>
        <w:t xml:space="preserve">le texte prévoit que les </w:t>
      </w:r>
      <w:r w:rsidRPr="00A53560">
        <w:rPr>
          <w:rFonts w:ascii="Arial" w:eastAsia="Times New Roman" w:hAnsi="Arial" w:cs="Arial"/>
          <w:b/>
          <w:bCs/>
          <w:color w:val="000000" w:themeColor="text1"/>
          <w:shd w:val="clear" w:color="auto" w:fill="FFFFFF"/>
          <w:lang w:eastAsia="fr-FR"/>
        </w:rPr>
        <w:t>intercommunalités puissent se voir déléguer en un seul bloc</w:t>
      </w:r>
      <w:r w:rsidRPr="00A53560">
        <w:rPr>
          <w:rFonts w:ascii="Arial" w:eastAsia="Times New Roman" w:hAnsi="Arial" w:cs="Arial"/>
          <w:color w:val="000000" w:themeColor="text1"/>
          <w:shd w:val="clear" w:color="auto" w:fill="FFFFFF"/>
          <w:lang w:eastAsia="fr-FR"/>
        </w:rPr>
        <w:t xml:space="preserve"> les compétences relatives aux aides à la pierre, à la gestion du droit au logement décent à la gestion du contingent préfectoral de logements sociaux, et celles relatives à la gestion de l’hébergement d’urgence.</w:t>
      </w:r>
      <w:r w:rsidR="002C1FFC">
        <w:rPr>
          <w:rFonts w:ascii="Arial" w:eastAsia="Times New Roman" w:hAnsi="Arial" w:cs="Arial"/>
          <w:color w:val="000000" w:themeColor="text1"/>
          <w:shd w:val="clear" w:color="auto" w:fill="FFFFFF"/>
          <w:lang w:eastAsia="fr-FR"/>
        </w:rPr>
        <w:t xml:space="preserve"> </w:t>
      </w:r>
      <w:r w:rsidR="002C1FFC" w:rsidRPr="002C1FFC">
        <w:rPr>
          <w:rFonts w:ascii="Arial" w:eastAsia="Times New Roman" w:hAnsi="Arial" w:cs="Arial"/>
          <w:i/>
          <w:iCs/>
          <w:color w:val="000000" w:themeColor="text1"/>
          <w:sz w:val="20"/>
          <w:szCs w:val="20"/>
          <w:shd w:val="clear" w:color="auto" w:fill="FFFFFF"/>
          <w:lang w:eastAsia="fr-FR"/>
        </w:rPr>
        <w:t>Art.16</w:t>
      </w:r>
    </w:p>
    <w:p w14:paraId="034838DE" w14:textId="77777777" w:rsidR="002C1FFC" w:rsidRPr="002C1FFC" w:rsidRDefault="002C1FFC" w:rsidP="002C1FFC">
      <w:pPr>
        <w:autoSpaceDE w:val="0"/>
        <w:autoSpaceDN w:val="0"/>
        <w:adjustRightInd w:val="0"/>
        <w:jc w:val="both"/>
        <w:rPr>
          <w:rFonts w:ascii="Arial" w:hAnsi="Arial" w:cs="Arial"/>
          <w:i/>
          <w:iCs/>
          <w:color w:val="000000" w:themeColor="text1"/>
        </w:rPr>
      </w:pPr>
    </w:p>
    <w:p w14:paraId="39F2A460" w14:textId="769FA8E4" w:rsidR="000451DD" w:rsidRDefault="00283808" w:rsidP="000451DD">
      <w:pPr>
        <w:autoSpaceDE w:val="0"/>
        <w:autoSpaceDN w:val="0"/>
        <w:adjustRightInd w:val="0"/>
        <w:jc w:val="both"/>
        <w:rPr>
          <w:rFonts w:ascii="Arial" w:hAnsi="Arial" w:cs="Arial"/>
          <w:b/>
          <w:bCs/>
          <w:color w:val="000000" w:themeColor="text1"/>
        </w:rPr>
      </w:pPr>
      <w:r w:rsidRPr="00A53560">
        <w:rPr>
          <w:rFonts w:ascii="Arial" w:hAnsi="Arial" w:cs="Arial"/>
          <w:b/>
          <w:bCs/>
          <w:color w:val="000000" w:themeColor="text1"/>
        </w:rPr>
        <w:t>Volet urbanisme</w:t>
      </w:r>
    </w:p>
    <w:p w14:paraId="661F1ECC" w14:textId="77777777" w:rsidR="002C1FFC" w:rsidRPr="00A53560" w:rsidRDefault="002C1FFC" w:rsidP="000451DD">
      <w:pPr>
        <w:autoSpaceDE w:val="0"/>
        <w:autoSpaceDN w:val="0"/>
        <w:adjustRightInd w:val="0"/>
        <w:jc w:val="both"/>
        <w:rPr>
          <w:rFonts w:ascii="Arial" w:hAnsi="Arial" w:cs="Arial"/>
          <w:b/>
          <w:bCs/>
          <w:color w:val="000000" w:themeColor="text1"/>
        </w:rPr>
      </w:pPr>
    </w:p>
    <w:p w14:paraId="339F31C4" w14:textId="7B318F6E" w:rsidR="000451DD" w:rsidRPr="002C1FFC" w:rsidRDefault="000451DD" w:rsidP="000451DD">
      <w:pPr>
        <w:pStyle w:val="Paragraphedeliste"/>
        <w:numPr>
          <w:ilvl w:val="0"/>
          <w:numId w:val="20"/>
        </w:numPr>
        <w:autoSpaceDE w:val="0"/>
        <w:autoSpaceDN w:val="0"/>
        <w:adjustRightInd w:val="0"/>
        <w:jc w:val="both"/>
        <w:rPr>
          <w:rFonts w:ascii="Arial" w:hAnsi="Arial" w:cs="Arial"/>
          <w:i/>
          <w:iCs/>
          <w:color w:val="000000" w:themeColor="text1"/>
          <w:sz w:val="20"/>
          <w:szCs w:val="20"/>
        </w:rPr>
      </w:pPr>
      <w:r w:rsidRPr="00A53560">
        <w:rPr>
          <w:rFonts w:ascii="Arial" w:eastAsia="Times New Roman" w:hAnsi="Arial" w:cs="Arial"/>
          <w:color w:val="000000" w:themeColor="text1"/>
          <w:lang w:eastAsia="fr-FR"/>
        </w:rPr>
        <w:t>L’opération de revitalisation des territoires (ORT), support du plan Action Cœur de ville, pourra désormais être conclue sur le périmètre d’une ou de plusieurs communes, sans y intégrer obligatoirement la ville principale de la métropole. Dans ces ORT et dans les grandes opérations d’urbanisme, le délai d’acquisition des biens sans maître serait modifié, passant de 30 ans à 10 ans.</w:t>
      </w:r>
      <w:r w:rsidR="002C1FFC">
        <w:rPr>
          <w:rFonts w:ascii="Arial" w:eastAsia="Times New Roman" w:hAnsi="Arial" w:cs="Arial"/>
          <w:color w:val="000000" w:themeColor="text1"/>
          <w:lang w:eastAsia="fr-FR"/>
        </w:rPr>
        <w:t xml:space="preserve"> </w:t>
      </w:r>
      <w:r w:rsidR="002C1FFC" w:rsidRPr="002C1FFC">
        <w:rPr>
          <w:rFonts w:ascii="Arial" w:eastAsia="Times New Roman" w:hAnsi="Arial" w:cs="Arial"/>
          <w:i/>
          <w:iCs/>
          <w:color w:val="000000" w:themeColor="text1"/>
          <w:sz w:val="20"/>
          <w:szCs w:val="20"/>
          <w:lang w:eastAsia="fr-FR"/>
        </w:rPr>
        <w:t>Art</w:t>
      </w:r>
      <w:r w:rsidR="002C1FFC">
        <w:rPr>
          <w:rFonts w:ascii="Arial" w:eastAsia="Times New Roman" w:hAnsi="Arial" w:cs="Arial"/>
          <w:i/>
          <w:iCs/>
          <w:color w:val="000000" w:themeColor="text1"/>
          <w:sz w:val="20"/>
          <w:szCs w:val="20"/>
          <w:lang w:eastAsia="fr-FR"/>
        </w:rPr>
        <w:t>.</w:t>
      </w:r>
      <w:r w:rsidR="002C1FFC" w:rsidRPr="002C1FFC">
        <w:rPr>
          <w:rFonts w:ascii="Arial" w:eastAsia="Times New Roman" w:hAnsi="Arial" w:cs="Arial"/>
          <w:i/>
          <w:iCs/>
          <w:color w:val="000000" w:themeColor="text1"/>
          <w:sz w:val="20"/>
          <w:szCs w:val="20"/>
          <w:lang w:eastAsia="fr-FR"/>
        </w:rPr>
        <w:t>17</w:t>
      </w:r>
      <w:r w:rsidR="004A75F3">
        <w:rPr>
          <w:rFonts w:ascii="Arial" w:eastAsia="Times New Roman" w:hAnsi="Arial" w:cs="Arial"/>
          <w:i/>
          <w:iCs/>
          <w:color w:val="000000" w:themeColor="text1"/>
          <w:sz w:val="20"/>
          <w:szCs w:val="20"/>
          <w:lang w:eastAsia="fr-FR"/>
        </w:rPr>
        <w:t xml:space="preserve"> et</w:t>
      </w:r>
      <w:r w:rsidR="002C1FFC" w:rsidRPr="002C1FFC">
        <w:rPr>
          <w:rFonts w:ascii="Arial" w:eastAsia="Times New Roman" w:hAnsi="Arial" w:cs="Arial"/>
          <w:i/>
          <w:iCs/>
          <w:color w:val="000000" w:themeColor="text1"/>
          <w:sz w:val="20"/>
          <w:szCs w:val="20"/>
          <w:lang w:eastAsia="fr-FR"/>
        </w:rPr>
        <w:t xml:space="preserve"> 18</w:t>
      </w:r>
    </w:p>
    <w:p w14:paraId="7CEF15CF" w14:textId="77777777" w:rsidR="000451DD" w:rsidRPr="00A53560" w:rsidRDefault="000451DD" w:rsidP="000451DD">
      <w:pPr>
        <w:pStyle w:val="Paragraphedeliste"/>
        <w:spacing w:before="100" w:beforeAutospacing="1" w:after="100" w:afterAutospacing="1"/>
        <w:jc w:val="both"/>
        <w:rPr>
          <w:rFonts w:ascii="Arial" w:eastAsia="Times New Roman" w:hAnsi="Arial" w:cs="Arial"/>
          <w:color w:val="000000" w:themeColor="text1"/>
          <w:lang w:eastAsia="fr-FR"/>
        </w:rPr>
      </w:pPr>
    </w:p>
    <w:p w14:paraId="2C5B3163" w14:textId="6E99F06E" w:rsidR="000451DD" w:rsidRPr="002C1FFC" w:rsidRDefault="000451DD" w:rsidP="000451DD">
      <w:pPr>
        <w:pStyle w:val="Paragraphedeliste"/>
        <w:numPr>
          <w:ilvl w:val="0"/>
          <w:numId w:val="19"/>
        </w:numPr>
        <w:spacing w:before="100" w:beforeAutospacing="1" w:after="100" w:afterAutospacing="1"/>
        <w:jc w:val="both"/>
        <w:rPr>
          <w:rFonts w:ascii="Arial" w:eastAsia="Times New Roman" w:hAnsi="Arial" w:cs="Arial"/>
          <w:i/>
          <w:iCs/>
          <w:color w:val="000000" w:themeColor="text1"/>
          <w:sz w:val="20"/>
          <w:szCs w:val="20"/>
          <w:lang w:eastAsia="fr-FR"/>
        </w:rPr>
      </w:pPr>
      <w:r w:rsidRPr="00A53560">
        <w:rPr>
          <w:rFonts w:ascii="Arial" w:eastAsia="Times New Roman" w:hAnsi="Arial" w:cs="Arial"/>
          <w:color w:val="000000" w:themeColor="text1"/>
          <w:lang w:eastAsia="fr-FR"/>
        </w:rPr>
        <w:t>Les organismes fonciers solidaires, qui visent à construire des logements en dissociant la propriété du bâti et son usage, via des baux emphytéotiques, voient leur rôle renforcé : ils pourront assurer la gestion de logements à destination de ménages intermédiaires, de locaux d’activité à usage professionnel ou commercial sous réserve d’un objectif de mixité sociale et de mixité fonctionnelle.</w:t>
      </w:r>
      <w:r w:rsidR="002C1FFC">
        <w:rPr>
          <w:rFonts w:ascii="Arial" w:eastAsia="Times New Roman" w:hAnsi="Arial" w:cs="Arial"/>
          <w:color w:val="000000" w:themeColor="text1"/>
          <w:lang w:eastAsia="fr-FR"/>
        </w:rPr>
        <w:t xml:space="preserve"> </w:t>
      </w:r>
      <w:r w:rsidR="002C1FFC" w:rsidRPr="002C1FFC">
        <w:rPr>
          <w:rFonts w:ascii="Arial" w:eastAsia="Times New Roman" w:hAnsi="Arial" w:cs="Arial"/>
          <w:i/>
          <w:iCs/>
          <w:color w:val="000000" w:themeColor="text1"/>
          <w:sz w:val="20"/>
          <w:szCs w:val="20"/>
          <w:lang w:eastAsia="fr-FR"/>
        </w:rPr>
        <w:t>Art.19</w:t>
      </w:r>
    </w:p>
    <w:p w14:paraId="2DC2595B" w14:textId="77777777" w:rsidR="000451DD" w:rsidRPr="00A53560" w:rsidRDefault="000451DD" w:rsidP="000451DD">
      <w:pPr>
        <w:pStyle w:val="Paragraphedeliste"/>
        <w:spacing w:before="100" w:beforeAutospacing="1" w:after="100" w:afterAutospacing="1"/>
        <w:jc w:val="both"/>
        <w:rPr>
          <w:rFonts w:ascii="Arial" w:eastAsia="Times New Roman" w:hAnsi="Arial" w:cs="Arial"/>
          <w:color w:val="000000" w:themeColor="text1"/>
          <w:lang w:eastAsia="fr-FR"/>
        </w:rPr>
      </w:pPr>
    </w:p>
    <w:p w14:paraId="5B63BCD9" w14:textId="77777777" w:rsidR="000451DD" w:rsidRPr="00A53560" w:rsidRDefault="000451DD" w:rsidP="000451DD">
      <w:pPr>
        <w:pStyle w:val="Paragraphedeliste"/>
        <w:numPr>
          <w:ilvl w:val="0"/>
          <w:numId w:val="19"/>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 xml:space="preserve">Enfin l’article 21 revient sur les projets partenariaux d’aménagement, créés par la loi </w:t>
      </w:r>
      <w:proofErr w:type="spellStart"/>
      <w:r w:rsidRPr="00A53560">
        <w:rPr>
          <w:rFonts w:ascii="Arial" w:eastAsia="Times New Roman" w:hAnsi="Arial" w:cs="Arial"/>
          <w:color w:val="000000" w:themeColor="text1"/>
          <w:lang w:eastAsia="fr-FR"/>
        </w:rPr>
        <w:t>Elan</w:t>
      </w:r>
      <w:proofErr w:type="spellEnd"/>
      <w:r w:rsidRPr="00A53560">
        <w:rPr>
          <w:rFonts w:ascii="Arial" w:eastAsia="Times New Roman" w:hAnsi="Arial" w:cs="Arial"/>
          <w:color w:val="000000" w:themeColor="text1"/>
          <w:lang w:eastAsia="fr-FR"/>
        </w:rPr>
        <w:t> : un permis d’aménager multi-sites pourra être utilisé dans ce cadre à condition que l’opération d’aménagement garantisse l’unité architecturale et paysagère des sites concernés et s’inscrive dans le respect des orientations d’aménagement et de programmation du plan local d’urbanisme. Des modifications sont également apportées à la grande opération d’urbanisme (GOU) comme la possibilité d’accorder des dérogations aux règles de gabarit, de stationnement et de densité pour l’autorité qui délivre les autorisations d’urbanisme.</w:t>
      </w:r>
    </w:p>
    <w:p w14:paraId="1C50AC8C" w14:textId="77777777" w:rsidR="000451DD" w:rsidRPr="00A53560" w:rsidRDefault="000451DD" w:rsidP="000451DD">
      <w:pPr>
        <w:pStyle w:val="Paragraphedeliste"/>
        <w:rPr>
          <w:rFonts w:ascii="Arial" w:eastAsia="Times New Roman" w:hAnsi="Arial" w:cs="Arial"/>
          <w:color w:val="000000" w:themeColor="text1"/>
          <w:lang w:eastAsia="fr-FR"/>
        </w:rPr>
      </w:pPr>
    </w:p>
    <w:p w14:paraId="15B5D7AA" w14:textId="31E59254" w:rsidR="000451DD" w:rsidRPr="00A53560" w:rsidRDefault="000451DD" w:rsidP="000451DD">
      <w:pPr>
        <w:pStyle w:val="Paragraphedeliste"/>
        <w:numPr>
          <w:ilvl w:val="0"/>
          <w:numId w:val="19"/>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Dernier point, l’expérimentation de l’encadrement des loyers est prolongée.</w:t>
      </w:r>
      <w:r w:rsidR="002C1FFC">
        <w:rPr>
          <w:rFonts w:ascii="Arial" w:eastAsia="Times New Roman" w:hAnsi="Arial" w:cs="Arial"/>
          <w:color w:val="000000" w:themeColor="text1"/>
          <w:lang w:eastAsia="fr-FR"/>
        </w:rPr>
        <w:t xml:space="preserve"> </w:t>
      </w:r>
      <w:r w:rsidR="002C1FFC" w:rsidRPr="002C1FFC">
        <w:rPr>
          <w:rFonts w:ascii="Arial" w:eastAsia="Times New Roman" w:hAnsi="Arial" w:cs="Arial"/>
          <w:i/>
          <w:iCs/>
          <w:color w:val="000000" w:themeColor="text1"/>
          <w:sz w:val="20"/>
          <w:szCs w:val="20"/>
          <w:lang w:eastAsia="fr-FR"/>
        </w:rPr>
        <w:t>Art.22</w:t>
      </w:r>
    </w:p>
    <w:p w14:paraId="57A5AB8A" w14:textId="77777777" w:rsidR="000451DD" w:rsidRPr="00A53560" w:rsidRDefault="000451DD" w:rsidP="000451DD">
      <w:pPr>
        <w:pStyle w:val="Paragraphedeliste"/>
        <w:rPr>
          <w:rFonts w:ascii="Arial" w:eastAsia="Times New Roman" w:hAnsi="Arial" w:cs="Arial"/>
          <w:color w:val="000000" w:themeColor="text1"/>
          <w:lang w:eastAsia="fr-FR"/>
        </w:rPr>
      </w:pPr>
    </w:p>
    <w:p w14:paraId="074D2C58" w14:textId="77777777" w:rsidR="002C1FFC" w:rsidRDefault="000451DD" w:rsidP="002C1FFC">
      <w:pPr>
        <w:spacing w:before="100" w:beforeAutospacing="1" w:after="100" w:afterAutospacing="1"/>
        <w:jc w:val="both"/>
        <w:rPr>
          <w:rFonts w:ascii="Arial" w:eastAsia="Times New Roman" w:hAnsi="Arial" w:cs="Arial"/>
          <w:b/>
          <w:bCs/>
          <w:color w:val="000000" w:themeColor="text1"/>
          <w:lang w:eastAsia="fr-FR"/>
        </w:rPr>
      </w:pPr>
      <w:r w:rsidRPr="00A53560">
        <w:rPr>
          <w:rFonts w:ascii="Arial" w:eastAsia="Times New Roman" w:hAnsi="Arial" w:cs="Arial"/>
          <w:b/>
          <w:bCs/>
          <w:color w:val="000000" w:themeColor="text1"/>
          <w:lang w:eastAsia="fr-FR"/>
        </w:rPr>
        <w:t>Volet santé</w:t>
      </w:r>
      <w:r w:rsidR="009247EF" w:rsidRPr="00A53560">
        <w:rPr>
          <w:rFonts w:ascii="Arial" w:eastAsia="Times New Roman" w:hAnsi="Arial" w:cs="Arial"/>
          <w:b/>
          <w:bCs/>
          <w:color w:val="000000" w:themeColor="text1"/>
          <w:lang w:eastAsia="fr-FR"/>
        </w:rPr>
        <w:t xml:space="preserve"> et cohésion sociale</w:t>
      </w:r>
    </w:p>
    <w:p w14:paraId="3B9C02CA" w14:textId="7B17842E" w:rsidR="009247EF" w:rsidRPr="002C1FFC" w:rsidRDefault="000451DD" w:rsidP="002C1FFC">
      <w:pPr>
        <w:pStyle w:val="Paragraphedeliste"/>
        <w:numPr>
          <w:ilvl w:val="0"/>
          <w:numId w:val="31"/>
        </w:numPr>
        <w:spacing w:before="100" w:beforeAutospacing="1" w:after="100" w:afterAutospacing="1"/>
        <w:jc w:val="both"/>
        <w:rPr>
          <w:rFonts w:ascii="Arial" w:eastAsia="Times New Roman" w:hAnsi="Arial" w:cs="Arial"/>
          <w:b/>
          <w:bCs/>
          <w:i/>
          <w:iCs/>
          <w:color w:val="000000" w:themeColor="text1"/>
          <w:sz w:val="20"/>
          <w:szCs w:val="20"/>
          <w:lang w:eastAsia="fr-FR"/>
        </w:rPr>
      </w:pPr>
      <w:r w:rsidRPr="002C1FFC">
        <w:rPr>
          <w:rFonts w:ascii="Arial" w:eastAsia="Times New Roman" w:hAnsi="Arial" w:cs="Arial"/>
          <w:b/>
          <w:bCs/>
          <w:color w:val="000000" w:themeColor="text1"/>
          <w:lang w:eastAsia="fr-FR"/>
        </w:rPr>
        <w:t xml:space="preserve">Le texte propose une réforme de la gouvernance de l’ARS en transformant le conseil de surveillance en conseil d’administration </w:t>
      </w:r>
      <w:r w:rsidR="009247EF" w:rsidRPr="002C1FFC">
        <w:rPr>
          <w:rFonts w:ascii="Arial" w:eastAsia="Times New Roman" w:hAnsi="Arial" w:cs="Arial"/>
          <w:b/>
          <w:bCs/>
          <w:color w:val="000000" w:themeColor="text1"/>
          <w:lang w:eastAsia="fr-FR"/>
        </w:rPr>
        <w:t>avec la nomination de 3 vice-présidents dont 2 désignés parmi les représentants des collectivités territoriales</w:t>
      </w:r>
      <w:r w:rsidR="009247EF" w:rsidRPr="002C1FFC">
        <w:rPr>
          <w:rFonts w:ascii="Arial" w:eastAsia="Times New Roman" w:hAnsi="Arial" w:cs="Arial"/>
          <w:color w:val="000000" w:themeColor="text1"/>
          <w:lang w:eastAsia="fr-FR"/>
        </w:rPr>
        <w:t>.</w:t>
      </w:r>
      <w:r w:rsidR="002C1FFC">
        <w:rPr>
          <w:rFonts w:ascii="Arial" w:eastAsia="Times New Roman" w:hAnsi="Arial" w:cs="Arial"/>
          <w:color w:val="000000" w:themeColor="text1"/>
          <w:lang w:eastAsia="fr-FR"/>
        </w:rPr>
        <w:t xml:space="preserve"> </w:t>
      </w:r>
      <w:r w:rsidR="002C1FFC" w:rsidRPr="002C1FFC">
        <w:rPr>
          <w:rFonts w:ascii="Arial" w:eastAsia="Times New Roman" w:hAnsi="Arial" w:cs="Arial"/>
          <w:i/>
          <w:iCs/>
          <w:color w:val="000000" w:themeColor="text1"/>
          <w:sz w:val="20"/>
          <w:szCs w:val="20"/>
          <w:lang w:eastAsia="fr-FR"/>
        </w:rPr>
        <w:t>Art.23</w:t>
      </w:r>
    </w:p>
    <w:p w14:paraId="3B20890B" w14:textId="77777777" w:rsidR="009247EF" w:rsidRPr="00A53560" w:rsidRDefault="009247EF" w:rsidP="009247EF">
      <w:pPr>
        <w:pStyle w:val="Paragraphedeliste"/>
        <w:spacing w:before="100" w:beforeAutospacing="1" w:after="100" w:afterAutospacing="1"/>
        <w:jc w:val="both"/>
        <w:rPr>
          <w:rFonts w:ascii="Arial" w:eastAsia="Times New Roman" w:hAnsi="Arial" w:cs="Arial"/>
          <w:color w:val="000000" w:themeColor="text1"/>
          <w:lang w:eastAsia="fr-FR"/>
        </w:rPr>
      </w:pPr>
    </w:p>
    <w:p w14:paraId="1B31437C" w14:textId="5B3BE43B" w:rsidR="009247EF" w:rsidRPr="002C1FFC" w:rsidRDefault="009247EF" w:rsidP="009247EF">
      <w:pPr>
        <w:pStyle w:val="Paragraphedeliste"/>
        <w:numPr>
          <w:ilvl w:val="0"/>
          <w:numId w:val="21"/>
        </w:numPr>
        <w:spacing w:before="100" w:beforeAutospacing="1" w:after="100" w:afterAutospacing="1"/>
        <w:jc w:val="both"/>
        <w:rPr>
          <w:rFonts w:ascii="Arial" w:eastAsia="Times New Roman" w:hAnsi="Arial" w:cs="Arial"/>
          <w:i/>
          <w:iCs/>
          <w:color w:val="000000" w:themeColor="text1"/>
          <w:sz w:val="20"/>
          <w:szCs w:val="20"/>
          <w:lang w:eastAsia="fr-FR"/>
        </w:rPr>
      </w:pPr>
      <w:r w:rsidRPr="00A53560">
        <w:rPr>
          <w:rFonts w:ascii="Arial" w:eastAsia="Times New Roman" w:hAnsi="Arial" w:cs="Arial"/>
          <w:color w:val="000000" w:themeColor="text1"/>
          <w:lang w:eastAsia="fr-FR"/>
        </w:rPr>
        <w:t>Un article vise à permettre aux collectivités territoriales de financer l’ensemble des établissements de santé, publics ou privés. Elles sont également autorisées à recruter des professionnels de santé pour exercer dans leurs centres de santé.</w:t>
      </w:r>
      <w:r w:rsidR="002C1FFC">
        <w:rPr>
          <w:rFonts w:ascii="Arial" w:eastAsia="Times New Roman" w:hAnsi="Arial" w:cs="Arial"/>
          <w:color w:val="000000" w:themeColor="text1"/>
          <w:lang w:eastAsia="fr-FR"/>
        </w:rPr>
        <w:t xml:space="preserve"> </w:t>
      </w:r>
      <w:r w:rsidR="002C1FFC" w:rsidRPr="002C1FFC">
        <w:rPr>
          <w:rFonts w:ascii="Arial" w:eastAsia="Times New Roman" w:hAnsi="Arial" w:cs="Arial"/>
          <w:i/>
          <w:iCs/>
          <w:color w:val="000000" w:themeColor="text1"/>
          <w:sz w:val="20"/>
          <w:szCs w:val="20"/>
          <w:lang w:eastAsia="fr-FR"/>
        </w:rPr>
        <w:t>Art.24</w:t>
      </w:r>
      <w:r w:rsidR="002C1FFC">
        <w:rPr>
          <w:rFonts w:ascii="Arial" w:eastAsia="Times New Roman" w:hAnsi="Arial" w:cs="Arial"/>
          <w:i/>
          <w:iCs/>
          <w:color w:val="000000" w:themeColor="text1"/>
          <w:sz w:val="20"/>
          <w:szCs w:val="20"/>
          <w:lang w:eastAsia="fr-FR"/>
        </w:rPr>
        <w:t xml:space="preserve"> et 25</w:t>
      </w:r>
    </w:p>
    <w:p w14:paraId="38624410" w14:textId="77777777" w:rsidR="009247EF" w:rsidRPr="00A53560" w:rsidRDefault="009247EF" w:rsidP="009247EF">
      <w:pPr>
        <w:pStyle w:val="Paragraphedeliste"/>
        <w:rPr>
          <w:rFonts w:ascii="Arial" w:eastAsia="Times New Roman" w:hAnsi="Arial" w:cs="Arial"/>
          <w:color w:val="000000" w:themeColor="text1"/>
          <w:lang w:eastAsia="fr-FR"/>
        </w:rPr>
      </w:pPr>
    </w:p>
    <w:p w14:paraId="1419AF2E" w14:textId="789A2EFE" w:rsidR="009247EF" w:rsidRPr="002C1FFC" w:rsidRDefault="009247EF" w:rsidP="009247EF">
      <w:pPr>
        <w:pStyle w:val="Paragraphedeliste"/>
        <w:numPr>
          <w:ilvl w:val="0"/>
          <w:numId w:val="21"/>
        </w:numPr>
        <w:spacing w:before="100" w:beforeAutospacing="1" w:after="100" w:afterAutospacing="1"/>
        <w:jc w:val="both"/>
        <w:rPr>
          <w:rFonts w:ascii="Arial" w:eastAsia="Times New Roman" w:hAnsi="Arial" w:cs="Arial"/>
          <w:i/>
          <w:iCs/>
          <w:color w:val="000000" w:themeColor="text1"/>
          <w:sz w:val="20"/>
          <w:szCs w:val="20"/>
          <w:lang w:eastAsia="fr-FR"/>
        </w:rPr>
      </w:pPr>
      <w:r w:rsidRPr="00A53560">
        <w:rPr>
          <w:rFonts w:ascii="Arial" w:eastAsia="Times New Roman" w:hAnsi="Arial" w:cs="Arial"/>
          <w:color w:val="000000" w:themeColor="text1"/>
          <w:lang w:eastAsia="fr-FR"/>
        </w:rPr>
        <w:lastRenderedPageBreak/>
        <w:t>L’expérimentation de la recentralisation du RSA est proposée à plusieurs départements dès le 1</w:t>
      </w:r>
      <w:r w:rsidRPr="00A53560">
        <w:rPr>
          <w:rFonts w:ascii="Arial" w:eastAsia="Times New Roman" w:hAnsi="Arial" w:cs="Arial"/>
          <w:color w:val="000000" w:themeColor="text1"/>
          <w:vertAlign w:val="superscript"/>
          <w:lang w:eastAsia="fr-FR"/>
        </w:rPr>
        <w:t>er</w:t>
      </w:r>
      <w:r w:rsidRPr="00A53560">
        <w:rPr>
          <w:rFonts w:ascii="Arial" w:eastAsia="Times New Roman" w:hAnsi="Arial" w:cs="Arial"/>
          <w:color w:val="000000" w:themeColor="text1"/>
          <w:lang w:eastAsia="fr-FR"/>
        </w:rPr>
        <w:t xml:space="preserve"> janvier 2022. </w:t>
      </w:r>
      <w:r w:rsidR="002C1FFC" w:rsidRPr="002C1FFC">
        <w:rPr>
          <w:rFonts w:ascii="Arial" w:eastAsia="Times New Roman" w:hAnsi="Arial" w:cs="Arial"/>
          <w:i/>
          <w:iCs/>
          <w:color w:val="000000" w:themeColor="text1"/>
          <w:sz w:val="20"/>
          <w:szCs w:val="20"/>
          <w:lang w:eastAsia="fr-FR"/>
        </w:rPr>
        <w:t>Art.27</w:t>
      </w:r>
    </w:p>
    <w:p w14:paraId="11666E4F" w14:textId="77777777" w:rsidR="009247EF" w:rsidRPr="00A53560" w:rsidRDefault="009247EF" w:rsidP="009247EF">
      <w:pPr>
        <w:pStyle w:val="Paragraphedeliste"/>
        <w:rPr>
          <w:rFonts w:ascii="Arial" w:eastAsia="Times New Roman" w:hAnsi="Arial" w:cs="Arial"/>
          <w:color w:val="000000" w:themeColor="text1"/>
          <w:lang w:eastAsia="fr-FR"/>
        </w:rPr>
      </w:pPr>
    </w:p>
    <w:p w14:paraId="1117695E" w14:textId="47A9A95F" w:rsidR="009247EF" w:rsidRPr="002C1FFC" w:rsidRDefault="009247EF" w:rsidP="002C1FFC">
      <w:pPr>
        <w:pStyle w:val="Paragraphedeliste"/>
        <w:numPr>
          <w:ilvl w:val="0"/>
          <w:numId w:val="21"/>
        </w:numPr>
        <w:spacing w:before="100" w:beforeAutospacing="1" w:after="100" w:afterAutospacing="1"/>
        <w:jc w:val="both"/>
        <w:rPr>
          <w:rFonts w:ascii="Arial" w:eastAsia="Times New Roman" w:hAnsi="Arial" w:cs="Arial"/>
          <w:i/>
          <w:iCs/>
          <w:color w:val="000000" w:themeColor="text1"/>
          <w:sz w:val="20"/>
          <w:szCs w:val="20"/>
          <w:lang w:eastAsia="fr-FR"/>
        </w:rPr>
      </w:pPr>
      <w:r w:rsidRPr="00A53560">
        <w:rPr>
          <w:rFonts w:ascii="Arial" w:eastAsia="Times New Roman" w:hAnsi="Arial" w:cs="Arial"/>
          <w:color w:val="000000" w:themeColor="text1"/>
          <w:lang w:eastAsia="fr-FR"/>
        </w:rPr>
        <w:t>Les métropoles et communautés urbaines auront la possibilité d’exercer une compétence d’action sociale et de créer un CIAS.</w:t>
      </w:r>
      <w:r w:rsidR="002C1FFC">
        <w:rPr>
          <w:rFonts w:ascii="Arial" w:eastAsia="Times New Roman" w:hAnsi="Arial" w:cs="Arial"/>
          <w:color w:val="000000" w:themeColor="text1"/>
          <w:lang w:eastAsia="fr-FR"/>
        </w:rPr>
        <w:t xml:space="preserve"> </w:t>
      </w:r>
      <w:r w:rsidR="002C1FFC" w:rsidRPr="002C1FFC">
        <w:rPr>
          <w:rFonts w:ascii="Arial" w:eastAsia="Times New Roman" w:hAnsi="Arial" w:cs="Arial"/>
          <w:i/>
          <w:iCs/>
          <w:color w:val="000000" w:themeColor="text1"/>
          <w:sz w:val="20"/>
          <w:szCs w:val="20"/>
          <w:lang w:eastAsia="fr-FR"/>
        </w:rPr>
        <w:t>Art.2</w:t>
      </w:r>
      <w:r w:rsidR="002C1FFC">
        <w:rPr>
          <w:rFonts w:ascii="Arial" w:eastAsia="Times New Roman" w:hAnsi="Arial" w:cs="Arial"/>
          <w:i/>
          <w:iCs/>
          <w:color w:val="000000" w:themeColor="text1"/>
          <w:sz w:val="20"/>
          <w:szCs w:val="20"/>
          <w:lang w:eastAsia="fr-FR"/>
        </w:rPr>
        <w:t>9</w:t>
      </w:r>
    </w:p>
    <w:p w14:paraId="035214C6" w14:textId="6DE79959" w:rsidR="009247EF" w:rsidRPr="00A53560" w:rsidRDefault="009247EF" w:rsidP="00EA368A">
      <w:pPr>
        <w:spacing w:before="100" w:beforeAutospacing="1" w:after="100" w:afterAutospacing="1"/>
        <w:jc w:val="both"/>
        <w:rPr>
          <w:rFonts w:ascii="Arial" w:eastAsia="Times New Roman" w:hAnsi="Arial" w:cs="Arial"/>
          <w:color w:val="000000" w:themeColor="text1"/>
          <w:u w:val="single"/>
          <w:lang w:eastAsia="fr-FR"/>
        </w:rPr>
      </w:pPr>
      <w:r w:rsidRPr="00A53560">
        <w:rPr>
          <w:rFonts w:ascii="Arial" w:eastAsia="Times New Roman" w:hAnsi="Arial" w:cs="Arial"/>
          <w:color w:val="000000" w:themeColor="text1"/>
          <w:u w:val="single"/>
          <w:lang w:eastAsia="fr-FR"/>
        </w:rPr>
        <w:t>Titre VI – La déconcentration</w:t>
      </w:r>
    </w:p>
    <w:p w14:paraId="727BD328" w14:textId="636D5471" w:rsidR="00EA368A" w:rsidRPr="00A53560" w:rsidRDefault="00EA368A" w:rsidP="00EA368A">
      <w:pPr>
        <w:pStyle w:val="Paragraphedeliste"/>
        <w:numPr>
          <w:ilvl w:val="0"/>
          <w:numId w:val="24"/>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Le préfet de région devient délégué territorial de l’ADEME et dans le domaine de l’eau, le texte confie la présidence du conseil d’administration de l’agence au préfet coordonnateur de bassin où l’agence a son siège.</w:t>
      </w:r>
      <w:r w:rsidR="002C1FFC">
        <w:rPr>
          <w:rFonts w:ascii="Arial" w:eastAsia="Times New Roman" w:hAnsi="Arial" w:cs="Arial"/>
          <w:color w:val="000000" w:themeColor="text1"/>
          <w:lang w:eastAsia="fr-FR"/>
        </w:rPr>
        <w:t xml:space="preserve"> </w:t>
      </w:r>
      <w:r w:rsidR="002C1FFC" w:rsidRPr="004A75F3">
        <w:rPr>
          <w:rFonts w:ascii="Arial" w:eastAsia="Times New Roman" w:hAnsi="Arial" w:cs="Arial"/>
          <w:i/>
          <w:iCs/>
          <w:color w:val="000000" w:themeColor="text1"/>
          <w:sz w:val="20"/>
          <w:szCs w:val="20"/>
          <w:lang w:eastAsia="fr-FR"/>
        </w:rPr>
        <w:t>Art.</w:t>
      </w:r>
      <w:r w:rsidR="004A75F3" w:rsidRPr="004A75F3">
        <w:rPr>
          <w:rFonts w:ascii="Arial" w:eastAsia="Times New Roman" w:hAnsi="Arial" w:cs="Arial"/>
          <w:i/>
          <w:iCs/>
          <w:color w:val="000000" w:themeColor="text1"/>
          <w:sz w:val="20"/>
          <w:szCs w:val="20"/>
          <w:lang w:eastAsia="fr-FR"/>
        </w:rPr>
        <w:t>35 et 36</w:t>
      </w:r>
    </w:p>
    <w:p w14:paraId="1D7826CE" w14:textId="77777777" w:rsidR="00EA368A" w:rsidRPr="00A53560" w:rsidRDefault="00EA368A" w:rsidP="00EA368A">
      <w:pPr>
        <w:pStyle w:val="Paragraphedeliste"/>
        <w:spacing w:before="100" w:beforeAutospacing="1" w:after="100" w:afterAutospacing="1"/>
        <w:jc w:val="both"/>
        <w:rPr>
          <w:rFonts w:ascii="Arial" w:eastAsia="Times New Roman" w:hAnsi="Arial" w:cs="Arial"/>
          <w:color w:val="000000" w:themeColor="text1"/>
          <w:lang w:eastAsia="fr-FR"/>
        </w:rPr>
      </w:pPr>
    </w:p>
    <w:p w14:paraId="1C776B61" w14:textId="795E043F" w:rsidR="00EA368A" w:rsidRPr="004A75F3" w:rsidRDefault="00EA368A" w:rsidP="00FA3CFE">
      <w:pPr>
        <w:pStyle w:val="Paragraphedeliste"/>
        <w:numPr>
          <w:ilvl w:val="0"/>
          <w:numId w:val="24"/>
        </w:numPr>
        <w:spacing w:before="100" w:beforeAutospacing="1" w:after="100" w:afterAutospacing="1"/>
        <w:jc w:val="both"/>
        <w:rPr>
          <w:rFonts w:ascii="Arial" w:eastAsia="Times New Roman" w:hAnsi="Arial" w:cs="Arial"/>
          <w:i/>
          <w:iCs/>
          <w:color w:val="000000" w:themeColor="text1"/>
          <w:sz w:val="20"/>
          <w:szCs w:val="20"/>
          <w:lang w:eastAsia="fr-FR"/>
        </w:rPr>
      </w:pPr>
      <w:r w:rsidRPr="00A53560">
        <w:rPr>
          <w:rFonts w:ascii="Arial" w:eastAsia="Times New Roman" w:hAnsi="Arial" w:cs="Arial"/>
          <w:color w:val="000000" w:themeColor="text1"/>
          <w:lang w:eastAsia="fr-FR"/>
        </w:rPr>
        <w:t>L’article 37 précise le rôle des contrats de cohésion territoriale, créés par la loi du 22 juillet 2020 qui a institué l’Agence nationale de cohésion des territoires. « </w:t>
      </w:r>
      <w:r w:rsidRPr="00A53560">
        <w:rPr>
          <w:rFonts w:ascii="Arial" w:eastAsia="Times New Roman" w:hAnsi="Arial" w:cs="Arial"/>
          <w:i/>
          <w:iCs/>
          <w:color w:val="000000" w:themeColor="text1"/>
          <w:lang w:eastAsia="fr-FR"/>
        </w:rPr>
        <w:t>Ils peuvent être conclus pour la mise en œuvre des projets de développement et d’aménagement territorial entre, d’une part, l’État et, d’autre part, les communes et les EPCI pour les projets relevant de leurs compétences respectives </w:t>
      </w:r>
      <w:r w:rsidRPr="00A53560">
        <w:rPr>
          <w:rFonts w:ascii="Arial" w:eastAsia="Times New Roman" w:hAnsi="Arial" w:cs="Arial"/>
          <w:color w:val="000000" w:themeColor="text1"/>
          <w:lang w:eastAsia="fr-FR"/>
        </w:rPr>
        <w:t>». La région et le département peuvent également être parties prenantes à ces contrats</w:t>
      </w:r>
      <w:r w:rsidR="004A75F3">
        <w:rPr>
          <w:rFonts w:ascii="Arial" w:eastAsia="Times New Roman" w:hAnsi="Arial" w:cs="Arial"/>
          <w:color w:val="000000" w:themeColor="text1"/>
          <w:lang w:eastAsia="fr-FR"/>
        </w:rPr>
        <w:t xml:space="preserve">. </w:t>
      </w:r>
      <w:r w:rsidR="004A75F3" w:rsidRPr="004A75F3">
        <w:rPr>
          <w:rFonts w:ascii="Arial" w:eastAsia="Times New Roman" w:hAnsi="Arial" w:cs="Arial"/>
          <w:i/>
          <w:iCs/>
          <w:color w:val="000000" w:themeColor="text1"/>
          <w:sz w:val="20"/>
          <w:szCs w:val="20"/>
          <w:lang w:eastAsia="fr-FR"/>
        </w:rPr>
        <w:t>Art.37</w:t>
      </w:r>
    </w:p>
    <w:p w14:paraId="2C5F3318" w14:textId="77777777" w:rsidR="00EA368A" w:rsidRPr="00A53560" w:rsidRDefault="00EA368A" w:rsidP="00EA368A">
      <w:pPr>
        <w:pStyle w:val="Paragraphedeliste"/>
        <w:rPr>
          <w:rFonts w:ascii="Arial" w:eastAsia="Times New Roman" w:hAnsi="Arial" w:cs="Arial"/>
          <w:color w:val="000000" w:themeColor="text1"/>
          <w:lang w:eastAsia="fr-FR"/>
        </w:rPr>
      </w:pPr>
    </w:p>
    <w:p w14:paraId="4C09B5E9" w14:textId="2E320CB9" w:rsidR="00EA368A" w:rsidRPr="00A53560" w:rsidRDefault="00EA368A" w:rsidP="00EA368A">
      <w:pPr>
        <w:pStyle w:val="Paragraphedeliste"/>
        <w:numPr>
          <w:ilvl w:val="0"/>
          <w:numId w:val="24"/>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 xml:space="preserve">Le mode de fonctionnement du </w:t>
      </w:r>
      <w:proofErr w:type="spellStart"/>
      <w:r w:rsidRPr="00A53560">
        <w:rPr>
          <w:rFonts w:ascii="Arial" w:eastAsia="Times New Roman" w:hAnsi="Arial" w:cs="Arial"/>
          <w:color w:val="000000" w:themeColor="text1"/>
          <w:lang w:eastAsia="fr-FR"/>
        </w:rPr>
        <w:t>Cerema</w:t>
      </w:r>
      <w:proofErr w:type="spellEnd"/>
      <w:r w:rsidRPr="00A53560">
        <w:rPr>
          <w:rFonts w:ascii="Arial" w:eastAsia="Times New Roman" w:hAnsi="Arial" w:cs="Arial"/>
          <w:color w:val="000000" w:themeColor="text1"/>
          <w:lang w:eastAsia="fr-FR"/>
        </w:rPr>
        <w:t xml:space="preserve"> va être modifié, avec une plus grande participation des collectivités dans la gouvernance. Objectif : faciliter l’accès des collectivités à leur offre de services, tout en respectant les règles de la commande publique.</w:t>
      </w:r>
      <w:r w:rsidR="004A75F3">
        <w:rPr>
          <w:rFonts w:ascii="Arial" w:eastAsia="Times New Roman" w:hAnsi="Arial" w:cs="Arial"/>
          <w:color w:val="000000" w:themeColor="text1"/>
          <w:lang w:eastAsia="fr-FR"/>
        </w:rPr>
        <w:t xml:space="preserve"> </w:t>
      </w:r>
      <w:r w:rsidR="004A75F3" w:rsidRPr="004A75F3">
        <w:rPr>
          <w:rFonts w:ascii="Arial" w:eastAsia="Times New Roman" w:hAnsi="Arial" w:cs="Arial"/>
          <w:i/>
          <w:iCs/>
          <w:color w:val="000000" w:themeColor="text1"/>
          <w:sz w:val="20"/>
          <w:szCs w:val="20"/>
          <w:lang w:eastAsia="fr-FR"/>
        </w:rPr>
        <w:t>Art.38</w:t>
      </w:r>
    </w:p>
    <w:p w14:paraId="485524AE" w14:textId="77777777" w:rsidR="00EA368A" w:rsidRPr="00A53560" w:rsidRDefault="00EA368A" w:rsidP="00EA368A">
      <w:pPr>
        <w:pStyle w:val="Paragraphedeliste"/>
        <w:rPr>
          <w:rFonts w:ascii="Arial" w:eastAsia="Times New Roman" w:hAnsi="Arial" w:cs="Arial"/>
          <w:color w:val="000000" w:themeColor="text1"/>
          <w:lang w:eastAsia="fr-FR"/>
        </w:rPr>
      </w:pPr>
    </w:p>
    <w:p w14:paraId="68F2E444" w14:textId="581D1420" w:rsidR="00EA368A" w:rsidRPr="004A75F3" w:rsidRDefault="00EA368A" w:rsidP="00EA368A">
      <w:pPr>
        <w:pStyle w:val="Paragraphedeliste"/>
        <w:numPr>
          <w:ilvl w:val="0"/>
          <w:numId w:val="24"/>
        </w:numPr>
        <w:spacing w:before="100" w:beforeAutospacing="1" w:after="100" w:afterAutospacing="1"/>
        <w:jc w:val="both"/>
        <w:rPr>
          <w:rFonts w:ascii="Arial" w:eastAsia="Times New Roman" w:hAnsi="Arial" w:cs="Arial"/>
          <w:i/>
          <w:iCs/>
          <w:color w:val="000000" w:themeColor="text1"/>
          <w:sz w:val="20"/>
          <w:szCs w:val="20"/>
          <w:lang w:eastAsia="fr-FR"/>
        </w:rPr>
      </w:pPr>
      <w:r w:rsidRPr="00A53560">
        <w:rPr>
          <w:rFonts w:ascii="Arial" w:eastAsia="Times New Roman" w:hAnsi="Arial" w:cs="Arial"/>
          <w:color w:val="000000" w:themeColor="text1"/>
          <w:lang w:eastAsia="fr-FR"/>
        </w:rPr>
        <w:t>Le rôle et les missions des espaces France Services sont également précisés tout comme la procédure de labellisation de ces structures.</w:t>
      </w:r>
      <w:r w:rsidR="004A75F3">
        <w:rPr>
          <w:rFonts w:ascii="Arial" w:eastAsia="Times New Roman" w:hAnsi="Arial" w:cs="Arial"/>
          <w:color w:val="000000" w:themeColor="text1"/>
          <w:lang w:eastAsia="fr-FR"/>
        </w:rPr>
        <w:t xml:space="preserve"> </w:t>
      </w:r>
      <w:r w:rsidR="004A75F3" w:rsidRPr="004A75F3">
        <w:rPr>
          <w:rFonts w:ascii="Arial" w:eastAsia="Times New Roman" w:hAnsi="Arial" w:cs="Arial"/>
          <w:i/>
          <w:iCs/>
          <w:color w:val="000000" w:themeColor="text1"/>
          <w:sz w:val="20"/>
          <w:szCs w:val="20"/>
          <w:lang w:eastAsia="fr-FR"/>
        </w:rPr>
        <w:t>Art.39</w:t>
      </w:r>
    </w:p>
    <w:p w14:paraId="7CDA48B3" w14:textId="77777777" w:rsidR="00EA368A" w:rsidRPr="00A53560" w:rsidRDefault="00EA368A" w:rsidP="00EA368A">
      <w:pPr>
        <w:pStyle w:val="Paragraphedeliste"/>
        <w:rPr>
          <w:rFonts w:ascii="Arial" w:eastAsia="Times New Roman" w:hAnsi="Arial" w:cs="Arial"/>
          <w:color w:val="000000" w:themeColor="text1"/>
          <w:lang w:eastAsia="fr-FR"/>
        </w:rPr>
      </w:pPr>
    </w:p>
    <w:p w14:paraId="346481E3" w14:textId="77777777" w:rsidR="002B1673" w:rsidRPr="00A53560" w:rsidRDefault="00EA368A" w:rsidP="002B1673">
      <w:pPr>
        <w:spacing w:before="100" w:beforeAutospacing="1" w:after="100" w:afterAutospacing="1"/>
        <w:jc w:val="both"/>
        <w:rPr>
          <w:rFonts w:ascii="Arial" w:eastAsia="Times New Roman" w:hAnsi="Arial" w:cs="Arial"/>
          <w:color w:val="000000" w:themeColor="text1"/>
          <w:u w:val="single"/>
          <w:lang w:eastAsia="fr-FR"/>
        </w:rPr>
      </w:pPr>
      <w:r w:rsidRPr="00A53560">
        <w:rPr>
          <w:rFonts w:ascii="Arial" w:eastAsia="Times New Roman" w:hAnsi="Arial" w:cs="Arial"/>
          <w:color w:val="000000" w:themeColor="text1"/>
          <w:u w:val="single"/>
          <w:lang w:eastAsia="fr-FR"/>
        </w:rPr>
        <w:t>Titre VII – Mesures de simplification de l’action publique locale</w:t>
      </w:r>
    </w:p>
    <w:p w14:paraId="7A0AD4A1" w14:textId="18920207" w:rsidR="002B1673" w:rsidRPr="00A53560" w:rsidRDefault="002B1673" w:rsidP="002B1673">
      <w:pPr>
        <w:spacing w:before="100" w:beforeAutospacing="1" w:after="100" w:afterAutospacing="1"/>
        <w:jc w:val="both"/>
        <w:rPr>
          <w:rFonts w:ascii="Arial" w:eastAsia="Times New Roman" w:hAnsi="Arial" w:cs="Arial"/>
          <w:color w:val="000000" w:themeColor="text1"/>
          <w:u w:val="single"/>
          <w:lang w:eastAsia="fr-FR"/>
        </w:rPr>
      </w:pPr>
      <w:r w:rsidRPr="00A53560">
        <w:rPr>
          <w:rFonts w:ascii="Arial" w:eastAsia="Times New Roman" w:hAnsi="Arial" w:cs="Arial"/>
          <w:color w:val="000000" w:themeColor="text1"/>
          <w:shd w:val="clear" w:color="auto" w:fill="FFFFFF"/>
          <w:lang w:eastAsia="fr-FR"/>
        </w:rPr>
        <w:t>Un tiers des articles du projet de loi sont consacrés la simplification de l’action publique locale. Le texte prévoit notamment de faciliter les partages de données entre administrations lorsqu’ils permettent de simplifier les démarches des usagers auprès du service public.</w:t>
      </w:r>
    </w:p>
    <w:p w14:paraId="5F5B0485" w14:textId="3A20B23E" w:rsidR="00511164" w:rsidRPr="00A53560" w:rsidRDefault="002B1673" w:rsidP="00511164">
      <w:pPr>
        <w:pStyle w:val="Paragraphedeliste"/>
        <w:numPr>
          <w:ilvl w:val="0"/>
          <w:numId w:val="26"/>
        </w:numPr>
        <w:jc w:val="both"/>
        <w:rPr>
          <w:rFonts w:ascii="Arial" w:eastAsia="Times New Roman" w:hAnsi="Arial" w:cs="Arial"/>
          <w:color w:val="000000" w:themeColor="text1"/>
          <w:lang w:eastAsia="fr-FR"/>
        </w:rPr>
      </w:pPr>
      <w:r w:rsidRPr="00A53560">
        <w:rPr>
          <w:rFonts w:ascii="Arial" w:eastAsia="Times New Roman" w:hAnsi="Arial" w:cs="Arial"/>
          <w:color w:val="000000" w:themeColor="text1"/>
          <w:shd w:val="clear" w:color="auto" w:fill="FFFFFF"/>
          <w:lang w:eastAsia="fr-FR"/>
        </w:rPr>
        <w:t>L’</w:t>
      </w:r>
      <w:r w:rsidRPr="00A53560">
        <w:rPr>
          <w:rFonts w:ascii="Arial" w:eastAsia="Times New Roman" w:hAnsi="Arial" w:cs="Arial"/>
          <w:color w:val="000000" w:themeColor="text1"/>
          <w:lang w:eastAsia="fr-FR"/>
        </w:rPr>
        <w:t>article 40</w:t>
      </w:r>
      <w:r w:rsidRPr="00A53560">
        <w:rPr>
          <w:rFonts w:ascii="Arial" w:eastAsia="Times New Roman" w:hAnsi="Arial" w:cs="Arial"/>
          <w:color w:val="000000" w:themeColor="text1"/>
          <w:shd w:val="clear" w:color="auto" w:fill="FFFFFF"/>
          <w:lang w:eastAsia="fr-FR"/>
        </w:rPr>
        <w:t> supprime la liste, jusqu’alors fixée au niveau réglementaire, des domaines, procédures et des administrations faisant l’objet de ces échanges, afin d’instaurer la règle du partage par défaut des informations entre administrations en cas de demande ou de déclaration de l’usager.</w:t>
      </w:r>
    </w:p>
    <w:p w14:paraId="63E6F03B" w14:textId="77777777" w:rsidR="00511164" w:rsidRPr="00A53560" w:rsidRDefault="00511164" w:rsidP="00511164">
      <w:pPr>
        <w:pStyle w:val="Paragraphedeliste"/>
        <w:jc w:val="both"/>
        <w:rPr>
          <w:rFonts w:ascii="Arial" w:eastAsia="Times New Roman" w:hAnsi="Arial" w:cs="Arial"/>
          <w:color w:val="000000" w:themeColor="text1"/>
          <w:lang w:eastAsia="fr-FR"/>
        </w:rPr>
      </w:pPr>
    </w:p>
    <w:p w14:paraId="6883130B" w14:textId="6F6ED82E" w:rsidR="002B1673" w:rsidRPr="004A75F3" w:rsidRDefault="00511164" w:rsidP="00511164">
      <w:pPr>
        <w:pStyle w:val="Paragraphedeliste"/>
        <w:numPr>
          <w:ilvl w:val="0"/>
          <w:numId w:val="26"/>
        </w:numPr>
        <w:jc w:val="both"/>
        <w:rPr>
          <w:rFonts w:ascii="Arial" w:eastAsia="Times New Roman" w:hAnsi="Arial" w:cs="Arial"/>
          <w:i/>
          <w:iCs/>
          <w:color w:val="000000" w:themeColor="text1"/>
          <w:sz w:val="20"/>
          <w:szCs w:val="20"/>
          <w:shd w:val="clear" w:color="auto" w:fill="FFFFFF"/>
          <w:lang w:eastAsia="fr-FR"/>
        </w:rPr>
      </w:pPr>
      <w:r w:rsidRPr="00A53560">
        <w:rPr>
          <w:rFonts w:ascii="Arial" w:eastAsia="Times New Roman" w:hAnsi="Arial" w:cs="Arial"/>
          <w:b/>
          <w:bCs/>
          <w:color w:val="000000" w:themeColor="text1"/>
          <w:shd w:val="clear" w:color="auto" w:fill="FFFFFF"/>
          <w:lang w:eastAsia="fr-FR"/>
        </w:rPr>
        <w:t xml:space="preserve">Le texte </w:t>
      </w:r>
      <w:r w:rsidRPr="00A53560">
        <w:rPr>
          <w:rFonts w:ascii="Arial" w:hAnsi="Arial" w:cs="Arial"/>
          <w:b/>
          <w:bCs/>
          <w:color w:val="000000" w:themeColor="text1"/>
        </w:rPr>
        <w:t>prévoit également que la commune garantit l'accès aux informations concernant les voies et adresses dans les conditions prévues par un décret afin de faciliter notamment le déploiement du très haut débit sur l'ensemble du territoire</w:t>
      </w:r>
      <w:r w:rsidR="002B1673" w:rsidRPr="00A53560">
        <w:rPr>
          <w:rFonts w:ascii="Arial" w:eastAsia="Times New Roman" w:hAnsi="Arial" w:cs="Arial"/>
          <w:color w:val="000000" w:themeColor="text1"/>
          <w:shd w:val="clear" w:color="auto" w:fill="FFFFFF"/>
          <w:lang w:eastAsia="fr-FR"/>
        </w:rPr>
        <w:t>.</w:t>
      </w:r>
      <w:r w:rsidRPr="00A53560">
        <w:rPr>
          <w:rFonts w:ascii="Arial" w:eastAsia="Times New Roman" w:hAnsi="Arial" w:cs="Arial"/>
          <w:color w:val="000000" w:themeColor="text1"/>
          <w:shd w:val="clear" w:color="auto" w:fill="FFFFFF"/>
          <w:lang w:eastAsia="fr-FR"/>
        </w:rPr>
        <w:t xml:space="preserve"> </w:t>
      </w:r>
      <w:r w:rsidRPr="00A53560">
        <w:rPr>
          <w:rFonts w:ascii="Arial" w:hAnsi="Arial" w:cs="Arial"/>
          <w:color w:val="000000" w:themeColor="text1"/>
        </w:rPr>
        <w:t>Cet article consacre expressément la compétence du conseil municipal pour dénommer les rues.</w:t>
      </w:r>
      <w:r w:rsidR="004A75F3">
        <w:rPr>
          <w:rFonts w:ascii="Arial" w:hAnsi="Arial" w:cs="Arial"/>
          <w:color w:val="000000" w:themeColor="text1"/>
        </w:rPr>
        <w:t xml:space="preserve"> </w:t>
      </w:r>
      <w:r w:rsidR="004A75F3" w:rsidRPr="004A75F3">
        <w:rPr>
          <w:rFonts w:ascii="Arial" w:hAnsi="Arial" w:cs="Arial"/>
          <w:i/>
          <w:iCs/>
          <w:color w:val="000000" w:themeColor="text1"/>
          <w:sz w:val="20"/>
          <w:szCs w:val="20"/>
        </w:rPr>
        <w:t>Art.42</w:t>
      </w:r>
    </w:p>
    <w:p w14:paraId="3014381A" w14:textId="77777777" w:rsidR="00511164" w:rsidRPr="00A53560" w:rsidRDefault="00511164" w:rsidP="00511164">
      <w:pPr>
        <w:pStyle w:val="Paragraphedeliste"/>
        <w:jc w:val="both"/>
        <w:rPr>
          <w:rFonts w:ascii="Arial" w:eastAsia="Times New Roman" w:hAnsi="Arial" w:cs="Arial"/>
          <w:color w:val="000000" w:themeColor="text1"/>
          <w:shd w:val="clear" w:color="auto" w:fill="FFFFFF"/>
          <w:lang w:eastAsia="fr-FR"/>
        </w:rPr>
      </w:pPr>
    </w:p>
    <w:p w14:paraId="601876DF" w14:textId="76782DA7" w:rsidR="002B1673" w:rsidRPr="004A75F3" w:rsidRDefault="00511164" w:rsidP="00511164">
      <w:pPr>
        <w:pStyle w:val="Paragraphedeliste"/>
        <w:numPr>
          <w:ilvl w:val="0"/>
          <w:numId w:val="26"/>
        </w:numPr>
        <w:jc w:val="both"/>
        <w:rPr>
          <w:rFonts w:ascii="Arial" w:eastAsia="Times New Roman" w:hAnsi="Arial" w:cs="Arial"/>
          <w:i/>
          <w:iCs/>
          <w:color w:val="000000" w:themeColor="text1"/>
          <w:sz w:val="20"/>
          <w:szCs w:val="20"/>
          <w:shd w:val="clear" w:color="auto" w:fill="FFFFFF"/>
          <w:lang w:eastAsia="fr-FR"/>
        </w:rPr>
      </w:pPr>
      <w:r w:rsidRPr="00A53560">
        <w:rPr>
          <w:rFonts w:ascii="Arial" w:eastAsia="Times New Roman" w:hAnsi="Arial" w:cs="Arial"/>
          <w:color w:val="000000" w:themeColor="text1"/>
          <w:shd w:val="clear" w:color="auto" w:fill="FFFFFF"/>
          <w:lang w:eastAsia="fr-FR"/>
        </w:rPr>
        <w:t>T</w:t>
      </w:r>
      <w:r w:rsidR="002B1673" w:rsidRPr="00A53560">
        <w:rPr>
          <w:rFonts w:ascii="Arial" w:eastAsia="Times New Roman" w:hAnsi="Arial" w:cs="Arial"/>
          <w:color w:val="000000" w:themeColor="text1"/>
          <w:shd w:val="clear" w:color="auto" w:fill="FFFFFF"/>
          <w:lang w:eastAsia="fr-FR"/>
        </w:rPr>
        <w:t>oujours à propos des données,</w:t>
      </w:r>
      <w:r w:rsidRPr="00A53560">
        <w:rPr>
          <w:rFonts w:ascii="Arial" w:eastAsia="Times New Roman" w:hAnsi="Arial" w:cs="Arial"/>
          <w:color w:val="000000" w:themeColor="text1"/>
          <w:shd w:val="clear" w:color="auto" w:fill="FFFFFF"/>
          <w:lang w:eastAsia="fr-FR"/>
        </w:rPr>
        <w:t xml:space="preserve"> </w:t>
      </w:r>
      <w:r w:rsidR="002B1673" w:rsidRPr="00A53560">
        <w:rPr>
          <w:rFonts w:ascii="Arial" w:eastAsia="Times New Roman" w:hAnsi="Arial" w:cs="Arial"/>
          <w:color w:val="000000" w:themeColor="text1"/>
          <w:shd w:val="clear" w:color="auto" w:fill="FFFFFF"/>
          <w:lang w:eastAsia="fr-FR"/>
        </w:rPr>
        <w:t>personnelles cette fois, le texte prévoit de renforcer la capacité de contrôle et de sanctions de la CNIL, en simplifiant par exemple la procédure de mise en demeure.</w:t>
      </w:r>
      <w:r w:rsidR="004A75F3">
        <w:rPr>
          <w:rFonts w:ascii="Arial" w:eastAsia="Times New Roman" w:hAnsi="Arial" w:cs="Arial"/>
          <w:color w:val="000000" w:themeColor="text1"/>
          <w:shd w:val="clear" w:color="auto" w:fill="FFFFFF"/>
          <w:lang w:eastAsia="fr-FR"/>
        </w:rPr>
        <w:t xml:space="preserve"> </w:t>
      </w:r>
      <w:r w:rsidR="004A75F3" w:rsidRPr="004A75F3">
        <w:rPr>
          <w:rFonts w:ascii="Arial" w:eastAsia="Times New Roman" w:hAnsi="Arial" w:cs="Arial"/>
          <w:i/>
          <w:iCs/>
          <w:color w:val="000000" w:themeColor="text1"/>
          <w:sz w:val="20"/>
          <w:szCs w:val="20"/>
          <w:shd w:val="clear" w:color="auto" w:fill="FFFFFF"/>
          <w:lang w:eastAsia="fr-FR"/>
        </w:rPr>
        <w:t>Art.41</w:t>
      </w:r>
    </w:p>
    <w:p w14:paraId="1E6A9935" w14:textId="77777777" w:rsidR="00511164" w:rsidRPr="00A53560" w:rsidRDefault="00511164" w:rsidP="00511164">
      <w:pPr>
        <w:pStyle w:val="Paragraphedeliste"/>
        <w:jc w:val="both"/>
        <w:rPr>
          <w:rFonts w:ascii="Arial" w:eastAsia="Times New Roman" w:hAnsi="Arial" w:cs="Arial"/>
          <w:color w:val="000000" w:themeColor="text1"/>
          <w:shd w:val="clear" w:color="auto" w:fill="FFFFFF"/>
          <w:lang w:eastAsia="fr-FR"/>
        </w:rPr>
      </w:pPr>
    </w:p>
    <w:p w14:paraId="1FAFF4D7" w14:textId="5ECC1D16" w:rsidR="00511164" w:rsidRPr="004A75F3" w:rsidRDefault="00511164" w:rsidP="00511164">
      <w:pPr>
        <w:pStyle w:val="Paragraphedeliste"/>
        <w:numPr>
          <w:ilvl w:val="0"/>
          <w:numId w:val="26"/>
        </w:numPr>
        <w:jc w:val="both"/>
        <w:rPr>
          <w:rFonts w:ascii="Arial" w:eastAsia="Times New Roman" w:hAnsi="Arial" w:cs="Arial"/>
          <w:color w:val="000000" w:themeColor="text1"/>
          <w:lang w:eastAsia="fr-FR"/>
        </w:rPr>
      </w:pPr>
      <w:r w:rsidRPr="00A53560">
        <w:rPr>
          <w:rFonts w:ascii="Arial" w:eastAsia="Times New Roman" w:hAnsi="Arial" w:cs="Arial"/>
          <w:color w:val="000000" w:themeColor="text1"/>
          <w:shd w:val="clear" w:color="auto" w:fill="FFFFFF"/>
          <w:lang w:eastAsia="fr-FR"/>
        </w:rPr>
        <w:t xml:space="preserve">Le projet de loi envisage aussi de simplifier la répartition des tâches entre l’ordonnateur et le comptable en déléguant à ce dernier les décisions d’admission en non-valeur de faibles montants et de </w:t>
      </w:r>
      <w:r w:rsidRPr="00A53560">
        <w:rPr>
          <w:rFonts w:ascii="Arial" w:eastAsia="Times New Roman" w:hAnsi="Arial" w:cs="Arial"/>
          <w:b/>
          <w:bCs/>
          <w:color w:val="000000" w:themeColor="text1"/>
          <w:shd w:val="clear" w:color="auto" w:fill="FFFFFF"/>
          <w:lang w:eastAsia="fr-FR"/>
        </w:rPr>
        <w:t>faciliter les dons de biens mobiliers par les collectivités territoriales.</w:t>
      </w:r>
      <w:r w:rsidR="004A75F3">
        <w:rPr>
          <w:rFonts w:ascii="Arial" w:eastAsia="Times New Roman" w:hAnsi="Arial" w:cs="Arial"/>
          <w:b/>
          <w:bCs/>
          <w:color w:val="000000" w:themeColor="text1"/>
          <w:shd w:val="clear" w:color="auto" w:fill="FFFFFF"/>
          <w:lang w:eastAsia="fr-FR"/>
        </w:rPr>
        <w:t xml:space="preserve"> </w:t>
      </w:r>
      <w:r w:rsidR="004A75F3" w:rsidRPr="004A75F3">
        <w:rPr>
          <w:rFonts w:ascii="Arial" w:eastAsia="Times New Roman" w:hAnsi="Arial" w:cs="Arial"/>
          <w:i/>
          <w:iCs/>
          <w:color w:val="000000" w:themeColor="text1"/>
          <w:sz w:val="20"/>
          <w:szCs w:val="20"/>
          <w:shd w:val="clear" w:color="auto" w:fill="FFFFFF"/>
          <w:lang w:eastAsia="fr-FR"/>
        </w:rPr>
        <w:t>Art.43 et 44</w:t>
      </w:r>
    </w:p>
    <w:p w14:paraId="46398802" w14:textId="77777777" w:rsidR="004A75F3" w:rsidRPr="004A75F3" w:rsidRDefault="004A75F3" w:rsidP="004A75F3">
      <w:pPr>
        <w:jc w:val="both"/>
        <w:rPr>
          <w:rFonts w:ascii="Arial" w:eastAsia="Times New Roman" w:hAnsi="Arial" w:cs="Arial"/>
          <w:color w:val="000000" w:themeColor="text1"/>
          <w:lang w:eastAsia="fr-FR"/>
        </w:rPr>
      </w:pPr>
    </w:p>
    <w:p w14:paraId="0002ADC7" w14:textId="4F4E169D" w:rsidR="003C35DF" w:rsidRPr="00A53560" w:rsidRDefault="003C35DF" w:rsidP="008F1F9F">
      <w:pPr>
        <w:pStyle w:val="Paragraphedeliste"/>
        <w:numPr>
          <w:ilvl w:val="0"/>
          <w:numId w:val="26"/>
        </w:numPr>
        <w:jc w:val="both"/>
        <w:rPr>
          <w:rFonts w:ascii="Arial" w:eastAsia="Times New Roman" w:hAnsi="Arial" w:cs="Arial"/>
          <w:color w:val="000000" w:themeColor="text1"/>
          <w:lang w:eastAsia="fr-FR"/>
        </w:rPr>
      </w:pPr>
      <w:r w:rsidRPr="00A53560">
        <w:rPr>
          <w:rFonts w:ascii="Arial" w:eastAsia="Times New Roman" w:hAnsi="Arial" w:cs="Arial"/>
          <w:color w:val="000000" w:themeColor="text1"/>
          <w:shd w:val="clear" w:color="auto" w:fill="FFFFFF"/>
          <w:lang w:eastAsia="fr-FR"/>
        </w:rPr>
        <w:t xml:space="preserve">Plusieurs mesures de simplification en matière d’aménagement et d’environnement sont également mentionnées, parmi lesquelles l’élargissement aux syndicats mixtes du droit de préemption des terres agricoles sur les aires d’alimentation des captages d’eau potable, la clarification du régime de protection des alignements d’arbres, la simplification de la répartition des compétences en matière d’entretien des réseaux de distribution de gaz </w:t>
      </w:r>
      <w:r w:rsidR="008F01B6" w:rsidRPr="00A53560">
        <w:rPr>
          <w:rFonts w:ascii="Arial" w:eastAsia="Times New Roman" w:hAnsi="Arial" w:cs="Arial"/>
          <w:color w:val="000000" w:themeColor="text1"/>
          <w:shd w:val="clear" w:color="auto" w:fill="FFFFFF"/>
          <w:lang w:eastAsia="fr-FR"/>
        </w:rPr>
        <w:t xml:space="preserve">et la contribution de toutes personnes publiques ou privées au financement d’ouvrages et d’aménagements autoroutiers. </w:t>
      </w:r>
      <w:r w:rsidR="004A75F3" w:rsidRPr="004A75F3">
        <w:rPr>
          <w:rFonts w:ascii="Arial" w:eastAsia="Times New Roman" w:hAnsi="Arial" w:cs="Arial"/>
          <w:i/>
          <w:iCs/>
          <w:color w:val="000000" w:themeColor="text1"/>
          <w:sz w:val="20"/>
          <w:szCs w:val="20"/>
          <w:shd w:val="clear" w:color="auto" w:fill="FFFFFF"/>
          <w:lang w:eastAsia="fr-FR"/>
        </w:rPr>
        <w:t>Art.46, 47 et 48</w:t>
      </w:r>
    </w:p>
    <w:p w14:paraId="2A43EBF7" w14:textId="77777777" w:rsidR="008F1F9F" w:rsidRPr="00A53560" w:rsidRDefault="008F1F9F" w:rsidP="008F1F9F">
      <w:pPr>
        <w:pStyle w:val="Paragraphedeliste"/>
        <w:jc w:val="both"/>
        <w:rPr>
          <w:rFonts w:ascii="Arial" w:eastAsia="Times New Roman" w:hAnsi="Arial" w:cs="Arial"/>
          <w:color w:val="000000" w:themeColor="text1"/>
          <w:lang w:eastAsia="fr-FR"/>
        </w:rPr>
      </w:pPr>
    </w:p>
    <w:p w14:paraId="2CAF3AFC" w14:textId="2C19C7CC" w:rsidR="008F1F9F" w:rsidRPr="004A75F3" w:rsidRDefault="008F1F9F" w:rsidP="008F1F9F">
      <w:pPr>
        <w:pStyle w:val="Paragraphedeliste"/>
        <w:numPr>
          <w:ilvl w:val="0"/>
          <w:numId w:val="26"/>
        </w:numPr>
        <w:jc w:val="both"/>
        <w:rPr>
          <w:rFonts w:ascii="Arial" w:eastAsia="Times New Roman" w:hAnsi="Arial" w:cs="Arial"/>
          <w:i/>
          <w:iCs/>
          <w:color w:val="000000" w:themeColor="text1"/>
          <w:sz w:val="20"/>
          <w:szCs w:val="20"/>
          <w:lang w:eastAsia="fr-FR"/>
        </w:rPr>
      </w:pPr>
      <w:r w:rsidRPr="00A53560">
        <w:rPr>
          <w:rFonts w:ascii="Arial" w:eastAsia="Times New Roman" w:hAnsi="Arial" w:cs="Arial"/>
          <w:color w:val="000000" w:themeColor="text1"/>
          <w:shd w:val="clear" w:color="auto" w:fill="FFFFFF"/>
          <w:lang w:eastAsia="fr-FR"/>
        </w:rPr>
        <w:t>Un article organise le transfert de la propriété des canalisations de gaz « </w:t>
      </w:r>
      <w:r w:rsidRPr="00A53560">
        <w:rPr>
          <w:rFonts w:ascii="Arial" w:eastAsia="Times New Roman" w:hAnsi="Arial" w:cs="Arial"/>
          <w:i/>
          <w:iCs/>
          <w:color w:val="000000" w:themeColor="text1"/>
          <w:shd w:val="clear" w:color="auto" w:fill="FFFFFF"/>
          <w:lang w:eastAsia="fr-FR"/>
        </w:rPr>
        <w:t>situées entre le réseau public de distribution et l’amont du compteur (aussi appelées conduites d’immeubles / conduites montantes) aux collectivités territoriales propriétaires des réseaux publics de distribution de gaz lorsque ces parties ne sont pas déjà intégrées dans la concession</w:t>
      </w:r>
      <w:r w:rsidRPr="00A53560">
        <w:rPr>
          <w:rFonts w:ascii="Arial" w:eastAsia="Times New Roman" w:hAnsi="Arial" w:cs="Arial"/>
          <w:color w:val="000000" w:themeColor="text1"/>
          <w:shd w:val="clear" w:color="auto" w:fill="FFFFFF"/>
          <w:lang w:eastAsia="fr-FR"/>
        </w:rPr>
        <w:t> ».</w:t>
      </w:r>
      <w:r w:rsidR="004A75F3">
        <w:rPr>
          <w:rFonts w:ascii="Arial" w:eastAsia="Times New Roman" w:hAnsi="Arial" w:cs="Arial"/>
          <w:color w:val="000000" w:themeColor="text1"/>
          <w:shd w:val="clear" w:color="auto" w:fill="FFFFFF"/>
          <w:lang w:eastAsia="fr-FR"/>
        </w:rPr>
        <w:t xml:space="preserve"> </w:t>
      </w:r>
      <w:r w:rsidR="004A75F3" w:rsidRPr="004A75F3">
        <w:rPr>
          <w:rFonts w:ascii="Arial" w:eastAsia="Times New Roman" w:hAnsi="Arial" w:cs="Arial"/>
          <w:i/>
          <w:iCs/>
          <w:color w:val="000000" w:themeColor="text1"/>
          <w:sz w:val="20"/>
          <w:szCs w:val="20"/>
          <w:shd w:val="clear" w:color="auto" w:fill="FFFFFF"/>
          <w:lang w:eastAsia="fr-FR"/>
        </w:rPr>
        <w:t>Art.49</w:t>
      </w:r>
    </w:p>
    <w:p w14:paraId="54096853" w14:textId="77777777" w:rsidR="008F01B6" w:rsidRPr="00A53560" w:rsidRDefault="008F01B6" w:rsidP="008F01B6">
      <w:pPr>
        <w:pStyle w:val="Paragraphedeliste"/>
        <w:jc w:val="both"/>
        <w:rPr>
          <w:rFonts w:ascii="Arial" w:eastAsia="Times New Roman" w:hAnsi="Arial" w:cs="Arial"/>
          <w:color w:val="000000" w:themeColor="text1"/>
          <w:lang w:eastAsia="fr-FR"/>
        </w:rPr>
      </w:pPr>
    </w:p>
    <w:p w14:paraId="7CBEA598" w14:textId="7CABE042" w:rsidR="008F1F9F" w:rsidRPr="004A75F3" w:rsidRDefault="008F1F9F" w:rsidP="008F1F9F">
      <w:pPr>
        <w:pStyle w:val="Paragraphedeliste"/>
        <w:numPr>
          <w:ilvl w:val="0"/>
          <w:numId w:val="26"/>
        </w:numPr>
        <w:jc w:val="both"/>
        <w:rPr>
          <w:rFonts w:ascii="Arial" w:eastAsia="Times New Roman" w:hAnsi="Arial" w:cs="Arial"/>
          <w:i/>
          <w:iCs/>
          <w:color w:val="000000" w:themeColor="text1"/>
          <w:sz w:val="20"/>
          <w:szCs w:val="20"/>
          <w:shd w:val="clear" w:color="auto" w:fill="FFFFFF"/>
          <w:lang w:eastAsia="fr-FR"/>
        </w:rPr>
      </w:pPr>
      <w:r w:rsidRPr="00A53560">
        <w:rPr>
          <w:rFonts w:ascii="Arial" w:eastAsia="Times New Roman" w:hAnsi="Arial" w:cs="Arial"/>
          <w:color w:val="000000" w:themeColor="text1"/>
          <w:shd w:val="clear" w:color="auto" w:fill="FFFFFF"/>
          <w:lang w:eastAsia="fr-FR"/>
        </w:rPr>
        <w:t>Enfin, le texte habilite le Gouvernement à réformer le droit de la publicité foncière par voie d’ordonnance.</w:t>
      </w:r>
      <w:r w:rsidR="004A75F3">
        <w:rPr>
          <w:rFonts w:ascii="Arial" w:eastAsia="Times New Roman" w:hAnsi="Arial" w:cs="Arial"/>
          <w:color w:val="000000" w:themeColor="text1"/>
          <w:shd w:val="clear" w:color="auto" w:fill="FFFFFF"/>
          <w:lang w:eastAsia="fr-FR"/>
        </w:rPr>
        <w:t xml:space="preserve"> </w:t>
      </w:r>
      <w:r w:rsidR="004A75F3" w:rsidRPr="004A75F3">
        <w:rPr>
          <w:rFonts w:ascii="Arial" w:eastAsia="Times New Roman" w:hAnsi="Arial" w:cs="Arial"/>
          <w:i/>
          <w:iCs/>
          <w:color w:val="000000" w:themeColor="text1"/>
          <w:sz w:val="20"/>
          <w:szCs w:val="20"/>
          <w:shd w:val="clear" w:color="auto" w:fill="FFFFFF"/>
          <w:lang w:eastAsia="fr-FR"/>
        </w:rPr>
        <w:t>Art.50</w:t>
      </w:r>
    </w:p>
    <w:p w14:paraId="5DFD38BB" w14:textId="77777777" w:rsidR="008F1F9F" w:rsidRPr="00A53560" w:rsidRDefault="008F1F9F" w:rsidP="008F1F9F">
      <w:pPr>
        <w:pStyle w:val="Paragraphedeliste"/>
        <w:rPr>
          <w:rFonts w:ascii="Arial" w:eastAsia="Times New Roman" w:hAnsi="Arial" w:cs="Arial"/>
          <w:color w:val="000000" w:themeColor="text1"/>
          <w:shd w:val="clear" w:color="auto" w:fill="FFFFFF"/>
          <w:lang w:eastAsia="fr-FR"/>
        </w:rPr>
      </w:pPr>
    </w:p>
    <w:p w14:paraId="680D36D3" w14:textId="153C3619" w:rsidR="008F1F9F" w:rsidRPr="00A53560" w:rsidRDefault="008F1F9F" w:rsidP="008F1F9F">
      <w:pPr>
        <w:jc w:val="both"/>
        <w:rPr>
          <w:rFonts w:ascii="Arial" w:eastAsia="Times New Roman" w:hAnsi="Arial" w:cs="Arial"/>
          <w:color w:val="000000" w:themeColor="text1"/>
          <w:u w:val="single"/>
          <w:shd w:val="clear" w:color="auto" w:fill="FFFFFF"/>
          <w:lang w:eastAsia="fr-FR"/>
        </w:rPr>
      </w:pPr>
      <w:r w:rsidRPr="00A53560">
        <w:rPr>
          <w:rFonts w:ascii="Arial" w:eastAsia="Times New Roman" w:hAnsi="Arial" w:cs="Arial"/>
          <w:color w:val="000000" w:themeColor="text1"/>
          <w:u w:val="single"/>
          <w:shd w:val="clear" w:color="auto" w:fill="FFFFFF"/>
          <w:lang w:eastAsia="fr-FR"/>
        </w:rPr>
        <w:t>Titre VII – Dispositions relatives à l’Outre-mer</w:t>
      </w:r>
    </w:p>
    <w:p w14:paraId="7165F0D7" w14:textId="77777777" w:rsidR="008F1F9F" w:rsidRPr="00A53560" w:rsidRDefault="008F1F9F" w:rsidP="008F1F9F">
      <w:pPr>
        <w:pStyle w:val="Paragraphedeliste"/>
        <w:numPr>
          <w:ilvl w:val="0"/>
          <w:numId w:val="30"/>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L’article 59 créé une expérimentation pour 5 ans, limitée aux territoires ultramarins, d’un état de calamité naturelle exceptionnelle. Il définit les conditions de déclaration de cet état de calamité naturelle exceptionnelle, avec trois conditions cumulatives :</w:t>
      </w:r>
    </w:p>
    <w:p w14:paraId="17552F52" w14:textId="51BF19B2" w:rsidR="008F1F9F" w:rsidRPr="00A53560" w:rsidRDefault="008F1F9F" w:rsidP="008F1F9F">
      <w:pPr>
        <w:pStyle w:val="Paragraphedeliste"/>
        <w:numPr>
          <w:ilvl w:val="1"/>
          <w:numId w:val="30"/>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Un aléa naturel majeur ;</w:t>
      </w:r>
    </w:p>
    <w:p w14:paraId="7D2D7968" w14:textId="4066E67A" w:rsidR="008F1F9F" w:rsidRPr="00A53560" w:rsidRDefault="008F1F9F" w:rsidP="008F1F9F">
      <w:pPr>
        <w:pStyle w:val="Paragraphedeliste"/>
        <w:numPr>
          <w:ilvl w:val="1"/>
          <w:numId w:val="30"/>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Une atteinte au fonctionnement normal des institutions ;</w:t>
      </w:r>
    </w:p>
    <w:p w14:paraId="71011A6A" w14:textId="7FC4C9C6" w:rsidR="008F1F9F" w:rsidRPr="00A53560" w:rsidRDefault="008F1F9F" w:rsidP="008F1F9F">
      <w:pPr>
        <w:pStyle w:val="Paragraphedeliste"/>
        <w:numPr>
          <w:ilvl w:val="1"/>
          <w:numId w:val="30"/>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Un danger grave imminent.</w:t>
      </w:r>
    </w:p>
    <w:p w14:paraId="3B7DA631" w14:textId="77777777" w:rsidR="008F1F9F" w:rsidRPr="00A53560" w:rsidRDefault="008F1F9F" w:rsidP="008F1F9F">
      <w:pPr>
        <w:pStyle w:val="Paragraphedeliste"/>
        <w:spacing w:before="100" w:beforeAutospacing="1" w:after="100" w:afterAutospacing="1"/>
        <w:jc w:val="both"/>
        <w:rPr>
          <w:rFonts w:ascii="Arial" w:eastAsia="Times New Roman" w:hAnsi="Arial" w:cs="Arial"/>
          <w:color w:val="000000" w:themeColor="text1"/>
          <w:lang w:eastAsia="fr-FR"/>
        </w:rPr>
      </w:pPr>
    </w:p>
    <w:p w14:paraId="341267DF" w14:textId="586EBE4F" w:rsidR="00691E9D" w:rsidRPr="004A75F3" w:rsidRDefault="008F1F9F" w:rsidP="00691E9D">
      <w:pPr>
        <w:pStyle w:val="Paragraphedeliste"/>
        <w:numPr>
          <w:ilvl w:val="0"/>
          <w:numId w:val="30"/>
        </w:numPr>
        <w:spacing w:before="100" w:beforeAutospacing="1" w:after="100" w:afterAutospacing="1"/>
        <w:jc w:val="both"/>
        <w:rPr>
          <w:rFonts w:ascii="Arial" w:eastAsia="Times New Roman" w:hAnsi="Arial" w:cs="Arial"/>
          <w:i/>
          <w:iCs/>
          <w:color w:val="000000" w:themeColor="text1"/>
          <w:sz w:val="20"/>
          <w:szCs w:val="20"/>
          <w:lang w:eastAsia="fr-FR"/>
        </w:rPr>
      </w:pPr>
      <w:r w:rsidRPr="00A53560">
        <w:rPr>
          <w:rFonts w:ascii="Arial" w:eastAsia="Times New Roman" w:hAnsi="Arial" w:cs="Arial"/>
          <w:color w:val="000000" w:themeColor="text1"/>
          <w:lang w:eastAsia="fr-FR"/>
        </w:rPr>
        <w:t>L’existence de l’agence des cinquante pas géométriques est prolongée jusqu’en 2031. Les délais pour délimiter les zones urbaines dans ces espaces sont prolongés jusqu’en 2924.</w:t>
      </w:r>
      <w:r w:rsidR="004A75F3">
        <w:rPr>
          <w:rFonts w:ascii="Arial" w:eastAsia="Times New Roman" w:hAnsi="Arial" w:cs="Arial"/>
          <w:color w:val="000000" w:themeColor="text1"/>
          <w:lang w:eastAsia="fr-FR"/>
        </w:rPr>
        <w:t xml:space="preserve"> </w:t>
      </w:r>
      <w:r w:rsidR="004A75F3" w:rsidRPr="004A75F3">
        <w:rPr>
          <w:rFonts w:ascii="Arial" w:eastAsia="Times New Roman" w:hAnsi="Arial" w:cs="Arial"/>
          <w:i/>
          <w:iCs/>
          <w:color w:val="000000" w:themeColor="text1"/>
          <w:sz w:val="20"/>
          <w:szCs w:val="20"/>
          <w:lang w:eastAsia="fr-FR"/>
        </w:rPr>
        <w:t>Art.60</w:t>
      </w:r>
    </w:p>
    <w:p w14:paraId="289826A1" w14:textId="77777777" w:rsidR="00691E9D" w:rsidRPr="00A53560" w:rsidRDefault="00691E9D" w:rsidP="00691E9D">
      <w:pPr>
        <w:pStyle w:val="Paragraphedeliste"/>
        <w:spacing w:before="100" w:beforeAutospacing="1" w:after="100" w:afterAutospacing="1"/>
        <w:jc w:val="both"/>
        <w:rPr>
          <w:rFonts w:ascii="Arial" w:eastAsia="Times New Roman" w:hAnsi="Arial" w:cs="Arial"/>
          <w:color w:val="000000" w:themeColor="text1"/>
          <w:lang w:eastAsia="fr-FR"/>
        </w:rPr>
      </w:pPr>
    </w:p>
    <w:p w14:paraId="2A3855AA" w14:textId="38DC32A1" w:rsidR="00691E9D" w:rsidRPr="00A53560" w:rsidRDefault="008F1F9F" w:rsidP="00691E9D">
      <w:pPr>
        <w:pStyle w:val="Paragraphedeliste"/>
        <w:numPr>
          <w:ilvl w:val="0"/>
          <w:numId w:val="30"/>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 xml:space="preserve">Enfin, </w:t>
      </w:r>
      <w:r w:rsidR="00691E9D" w:rsidRPr="00A53560">
        <w:rPr>
          <w:rFonts w:ascii="Arial" w:eastAsia="Times New Roman" w:hAnsi="Arial" w:cs="Arial"/>
          <w:color w:val="000000" w:themeColor="text1"/>
          <w:lang w:eastAsia="fr-FR"/>
        </w:rPr>
        <w:t xml:space="preserve">plusieurs </w:t>
      </w:r>
      <w:r w:rsidRPr="00A53560">
        <w:rPr>
          <w:rFonts w:ascii="Arial" w:eastAsia="Times New Roman" w:hAnsi="Arial" w:cs="Arial"/>
          <w:color w:val="000000" w:themeColor="text1"/>
          <w:lang w:eastAsia="fr-FR"/>
        </w:rPr>
        <w:t>articles ont pour objectif :</w:t>
      </w:r>
    </w:p>
    <w:p w14:paraId="6B46F93B" w14:textId="5F410072" w:rsidR="00691E9D" w:rsidRPr="00A53560" w:rsidRDefault="00691E9D" w:rsidP="00691E9D">
      <w:pPr>
        <w:pStyle w:val="Paragraphedeliste"/>
        <w:numPr>
          <w:ilvl w:val="1"/>
          <w:numId w:val="30"/>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D</w:t>
      </w:r>
      <w:r w:rsidR="008F1F9F" w:rsidRPr="00A53560">
        <w:rPr>
          <w:rFonts w:ascii="Arial" w:eastAsia="Times New Roman" w:hAnsi="Arial" w:cs="Arial"/>
          <w:color w:val="000000" w:themeColor="text1"/>
          <w:lang w:eastAsia="fr-FR"/>
        </w:rPr>
        <w:t xml:space="preserve">’adapter la prescription acquisitive immobilière à Mayotte </w:t>
      </w:r>
      <w:r w:rsidR="004A75F3" w:rsidRPr="004A75F3">
        <w:rPr>
          <w:rFonts w:ascii="Arial" w:eastAsia="Times New Roman" w:hAnsi="Arial" w:cs="Arial"/>
          <w:i/>
          <w:iCs/>
          <w:color w:val="000000" w:themeColor="text1"/>
          <w:sz w:val="20"/>
          <w:szCs w:val="20"/>
          <w:lang w:eastAsia="fr-FR"/>
        </w:rPr>
        <w:t>(Art.61) ;</w:t>
      </w:r>
    </w:p>
    <w:p w14:paraId="5C712C90" w14:textId="347E5EF0" w:rsidR="00691E9D" w:rsidRPr="00A53560" w:rsidRDefault="00691E9D" w:rsidP="00691E9D">
      <w:pPr>
        <w:pStyle w:val="Paragraphedeliste"/>
        <w:numPr>
          <w:ilvl w:val="1"/>
          <w:numId w:val="30"/>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D</w:t>
      </w:r>
      <w:r w:rsidR="008F1F9F" w:rsidRPr="00A53560">
        <w:rPr>
          <w:rFonts w:ascii="Arial" w:eastAsia="Times New Roman" w:hAnsi="Arial" w:cs="Arial"/>
          <w:color w:val="000000" w:themeColor="text1"/>
          <w:lang w:eastAsia="fr-FR"/>
        </w:rPr>
        <w:t xml:space="preserve">e créer dans les collectivités de Guadeloupe, de Guyane, de la Martinique, de La Réunion et de Mayotte une catégorie d’établissements publics à caractère industriel et commercial en matière de formation professionnelle </w:t>
      </w:r>
      <w:r w:rsidR="004A75F3" w:rsidRPr="004A75F3">
        <w:rPr>
          <w:rFonts w:ascii="Arial" w:eastAsia="Times New Roman" w:hAnsi="Arial" w:cs="Arial"/>
          <w:i/>
          <w:iCs/>
          <w:color w:val="000000" w:themeColor="text1"/>
          <w:sz w:val="20"/>
          <w:szCs w:val="20"/>
          <w:lang w:eastAsia="fr-FR"/>
        </w:rPr>
        <w:t>(Art.62)</w:t>
      </w:r>
      <w:r w:rsidR="004A75F3">
        <w:rPr>
          <w:rFonts w:ascii="Arial" w:eastAsia="Times New Roman" w:hAnsi="Arial" w:cs="Arial"/>
          <w:color w:val="000000" w:themeColor="text1"/>
          <w:lang w:eastAsia="fr-FR"/>
        </w:rPr>
        <w:t xml:space="preserve"> </w:t>
      </w:r>
      <w:r w:rsidR="008F1F9F" w:rsidRPr="00A53560">
        <w:rPr>
          <w:rFonts w:ascii="Arial" w:eastAsia="Times New Roman" w:hAnsi="Arial" w:cs="Arial"/>
          <w:color w:val="000000" w:themeColor="text1"/>
          <w:lang w:eastAsia="fr-FR"/>
        </w:rPr>
        <w:t>;</w:t>
      </w:r>
    </w:p>
    <w:p w14:paraId="4479A48C" w14:textId="6658E45C" w:rsidR="00691E9D" w:rsidRPr="00A53560" w:rsidRDefault="00691E9D" w:rsidP="00691E9D">
      <w:pPr>
        <w:pStyle w:val="Paragraphedeliste"/>
        <w:numPr>
          <w:ilvl w:val="1"/>
          <w:numId w:val="30"/>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D</w:t>
      </w:r>
      <w:r w:rsidR="008F1F9F" w:rsidRPr="00A53560">
        <w:rPr>
          <w:rFonts w:ascii="Arial" w:eastAsia="Times New Roman" w:hAnsi="Arial" w:cs="Arial"/>
          <w:color w:val="000000" w:themeColor="text1"/>
          <w:lang w:eastAsia="fr-FR"/>
        </w:rPr>
        <w:t>e permettre aux Terres australes et antarctiques françaises (TAAF) de diversifier ses sources de financement en lui permettant de confier à un organisme tiers l’encaissement de recettes issues d’un financement participatif</w:t>
      </w:r>
      <w:r w:rsidRPr="00A53560">
        <w:rPr>
          <w:rFonts w:ascii="Arial" w:eastAsia="Times New Roman" w:hAnsi="Arial" w:cs="Arial"/>
          <w:color w:val="000000" w:themeColor="text1"/>
          <w:lang w:eastAsia="fr-FR"/>
        </w:rPr>
        <w:t xml:space="preserve"> </w:t>
      </w:r>
      <w:r w:rsidR="004A75F3" w:rsidRPr="004A75F3">
        <w:rPr>
          <w:rFonts w:ascii="Arial" w:eastAsia="Times New Roman" w:hAnsi="Arial" w:cs="Arial"/>
          <w:i/>
          <w:iCs/>
          <w:color w:val="000000" w:themeColor="text1"/>
          <w:sz w:val="20"/>
          <w:szCs w:val="20"/>
          <w:lang w:eastAsia="fr-FR"/>
        </w:rPr>
        <w:t>(Art.63)</w:t>
      </w:r>
      <w:r w:rsidR="004A75F3">
        <w:rPr>
          <w:rFonts w:ascii="Arial" w:eastAsia="Times New Roman" w:hAnsi="Arial" w:cs="Arial"/>
          <w:color w:val="000000" w:themeColor="text1"/>
          <w:lang w:eastAsia="fr-FR"/>
        </w:rPr>
        <w:t xml:space="preserve"> </w:t>
      </w:r>
      <w:r w:rsidR="008F1F9F" w:rsidRPr="00A53560">
        <w:rPr>
          <w:rFonts w:ascii="Arial" w:eastAsia="Times New Roman" w:hAnsi="Arial" w:cs="Arial"/>
          <w:color w:val="000000" w:themeColor="text1"/>
          <w:lang w:eastAsia="fr-FR"/>
        </w:rPr>
        <w:t>;</w:t>
      </w:r>
    </w:p>
    <w:p w14:paraId="2EF19661" w14:textId="498037C3" w:rsidR="00EA368A" w:rsidRPr="00A53560" w:rsidRDefault="00691E9D" w:rsidP="00691E9D">
      <w:pPr>
        <w:pStyle w:val="Paragraphedeliste"/>
        <w:numPr>
          <w:ilvl w:val="1"/>
          <w:numId w:val="30"/>
        </w:numPr>
        <w:spacing w:before="100" w:beforeAutospacing="1" w:after="100" w:afterAutospacing="1"/>
        <w:jc w:val="both"/>
        <w:rPr>
          <w:rFonts w:ascii="Arial" w:eastAsia="Times New Roman" w:hAnsi="Arial" w:cs="Arial"/>
          <w:color w:val="000000" w:themeColor="text1"/>
          <w:lang w:eastAsia="fr-FR"/>
        </w:rPr>
      </w:pPr>
      <w:r w:rsidRPr="00A53560">
        <w:rPr>
          <w:rFonts w:ascii="Arial" w:eastAsia="Times New Roman" w:hAnsi="Arial" w:cs="Arial"/>
          <w:color w:val="000000" w:themeColor="text1"/>
          <w:lang w:eastAsia="fr-FR"/>
        </w:rPr>
        <w:t>D</w:t>
      </w:r>
      <w:r w:rsidR="008F1F9F" w:rsidRPr="00A53560">
        <w:rPr>
          <w:rFonts w:ascii="Arial" w:eastAsia="Times New Roman" w:hAnsi="Arial" w:cs="Arial"/>
          <w:color w:val="000000" w:themeColor="text1"/>
          <w:lang w:eastAsia="fr-FR"/>
        </w:rPr>
        <w:t>e supprimer l’obligation de subdivision en deux sections des CESECE de Guyane et de Martinique</w:t>
      </w:r>
      <w:r w:rsidR="004A75F3">
        <w:rPr>
          <w:rFonts w:ascii="Arial" w:eastAsia="Times New Roman" w:hAnsi="Arial" w:cs="Arial"/>
          <w:color w:val="000000" w:themeColor="text1"/>
          <w:lang w:eastAsia="fr-FR"/>
        </w:rPr>
        <w:t xml:space="preserve"> </w:t>
      </w:r>
      <w:r w:rsidR="004A75F3" w:rsidRPr="004A75F3">
        <w:rPr>
          <w:rFonts w:ascii="Arial" w:eastAsia="Times New Roman" w:hAnsi="Arial" w:cs="Arial"/>
          <w:i/>
          <w:iCs/>
          <w:color w:val="000000" w:themeColor="text1"/>
          <w:sz w:val="20"/>
          <w:szCs w:val="20"/>
          <w:lang w:eastAsia="fr-FR"/>
        </w:rPr>
        <w:t>(Art.64)</w:t>
      </w:r>
      <w:r w:rsidR="008F1F9F" w:rsidRPr="004A75F3">
        <w:rPr>
          <w:rFonts w:ascii="Arial" w:eastAsia="Times New Roman" w:hAnsi="Arial" w:cs="Arial"/>
          <w:i/>
          <w:iCs/>
          <w:color w:val="000000" w:themeColor="text1"/>
          <w:sz w:val="20"/>
          <w:szCs w:val="20"/>
          <w:lang w:eastAsia="fr-FR"/>
        </w:rPr>
        <w:t>.</w:t>
      </w:r>
    </w:p>
    <w:sectPr w:rsidR="00EA368A" w:rsidRPr="00A53560" w:rsidSect="00E46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4010"/>
    <w:multiLevelType w:val="hybridMultilevel"/>
    <w:tmpl w:val="EE1EB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5769C"/>
    <w:multiLevelType w:val="hybridMultilevel"/>
    <w:tmpl w:val="CA906A38"/>
    <w:lvl w:ilvl="0" w:tplc="90F22EC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2225BC"/>
    <w:multiLevelType w:val="hybridMultilevel"/>
    <w:tmpl w:val="B95A5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D7046A"/>
    <w:multiLevelType w:val="hybridMultilevel"/>
    <w:tmpl w:val="07C68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6B7435"/>
    <w:multiLevelType w:val="hybridMultilevel"/>
    <w:tmpl w:val="B0C4F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2B72"/>
    <w:multiLevelType w:val="hybridMultilevel"/>
    <w:tmpl w:val="DC402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52927"/>
    <w:multiLevelType w:val="hybridMultilevel"/>
    <w:tmpl w:val="D1BA8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B23B45"/>
    <w:multiLevelType w:val="hybridMultilevel"/>
    <w:tmpl w:val="EE98EF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050503"/>
    <w:multiLevelType w:val="multilevel"/>
    <w:tmpl w:val="0B0E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87D68"/>
    <w:multiLevelType w:val="hybridMultilevel"/>
    <w:tmpl w:val="98441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905F60"/>
    <w:multiLevelType w:val="multilevel"/>
    <w:tmpl w:val="4EAA6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23861"/>
    <w:multiLevelType w:val="hybridMultilevel"/>
    <w:tmpl w:val="78A83C2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2286CA1"/>
    <w:multiLevelType w:val="hybridMultilevel"/>
    <w:tmpl w:val="F29CCA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34444A"/>
    <w:multiLevelType w:val="hybridMultilevel"/>
    <w:tmpl w:val="FD3A3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5D4EE4"/>
    <w:multiLevelType w:val="hybridMultilevel"/>
    <w:tmpl w:val="B11E3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A5213"/>
    <w:multiLevelType w:val="hybridMultilevel"/>
    <w:tmpl w:val="F9A4B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E1362B"/>
    <w:multiLevelType w:val="hybridMultilevel"/>
    <w:tmpl w:val="63BC7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2B3401"/>
    <w:multiLevelType w:val="hybridMultilevel"/>
    <w:tmpl w:val="AAF63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043CFE"/>
    <w:multiLevelType w:val="hybridMultilevel"/>
    <w:tmpl w:val="172A1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4673A6"/>
    <w:multiLevelType w:val="hybridMultilevel"/>
    <w:tmpl w:val="9A86AE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A96BE9"/>
    <w:multiLevelType w:val="hybridMultilevel"/>
    <w:tmpl w:val="50E6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E272FA"/>
    <w:multiLevelType w:val="hybridMultilevel"/>
    <w:tmpl w:val="4F92F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F5F95"/>
    <w:multiLevelType w:val="multilevel"/>
    <w:tmpl w:val="5DB2F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F7244"/>
    <w:multiLevelType w:val="hybridMultilevel"/>
    <w:tmpl w:val="E9B696F6"/>
    <w:lvl w:ilvl="0" w:tplc="FD78791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793F05"/>
    <w:multiLevelType w:val="hybridMultilevel"/>
    <w:tmpl w:val="A2AE8120"/>
    <w:lvl w:ilvl="0" w:tplc="FD78791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831A95"/>
    <w:multiLevelType w:val="hybridMultilevel"/>
    <w:tmpl w:val="0E7C1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920E1F"/>
    <w:multiLevelType w:val="multilevel"/>
    <w:tmpl w:val="E5EA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45E37"/>
    <w:multiLevelType w:val="hybridMultilevel"/>
    <w:tmpl w:val="CDA2762E"/>
    <w:lvl w:ilvl="0" w:tplc="E5B620E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E909EE"/>
    <w:multiLevelType w:val="multilevel"/>
    <w:tmpl w:val="38F69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1E58D1"/>
    <w:multiLevelType w:val="hybridMultilevel"/>
    <w:tmpl w:val="217CF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223298"/>
    <w:multiLevelType w:val="hybridMultilevel"/>
    <w:tmpl w:val="440E3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0"/>
  </w:num>
  <w:num w:numId="4">
    <w:abstractNumId w:val="0"/>
  </w:num>
  <w:num w:numId="5">
    <w:abstractNumId w:val="7"/>
  </w:num>
  <w:num w:numId="6">
    <w:abstractNumId w:val="19"/>
  </w:num>
  <w:num w:numId="7">
    <w:abstractNumId w:val="11"/>
  </w:num>
  <w:num w:numId="8">
    <w:abstractNumId w:val="6"/>
  </w:num>
  <w:num w:numId="9">
    <w:abstractNumId w:val="27"/>
  </w:num>
  <w:num w:numId="10">
    <w:abstractNumId w:val="4"/>
  </w:num>
  <w:num w:numId="11">
    <w:abstractNumId w:val="13"/>
  </w:num>
  <w:num w:numId="12">
    <w:abstractNumId w:val="14"/>
  </w:num>
  <w:num w:numId="13">
    <w:abstractNumId w:val="24"/>
  </w:num>
  <w:num w:numId="14">
    <w:abstractNumId w:val="23"/>
  </w:num>
  <w:num w:numId="15">
    <w:abstractNumId w:val="1"/>
  </w:num>
  <w:num w:numId="16">
    <w:abstractNumId w:val="18"/>
  </w:num>
  <w:num w:numId="17">
    <w:abstractNumId w:val="25"/>
  </w:num>
  <w:num w:numId="18">
    <w:abstractNumId w:val="16"/>
  </w:num>
  <w:num w:numId="19">
    <w:abstractNumId w:val="29"/>
  </w:num>
  <w:num w:numId="20">
    <w:abstractNumId w:val="9"/>
  </w:num>
  <w:num w:numId="21">
    <w:abstractNumId w:val="5"/>
  </w:num>
  <w:num w:numId="22">
    <w:abstractNumId w:val="30"/>
  </w:num>
  <w:num w:numId="23">
    <w:abstractNumId w:val="17"/>
  </w:num>
  <w:num w:numId="24">
    <w:abstractNumId w:val="21"/>
  </w:num>
  <w:num w:numId="25">
    <w:abstractNumId w:val="2"/>
  </w:num>
  <w:num w:numId="26">
    <w:abstractNumId w:val="3"/>
  </w:num>
  <w:num w:numId="27">
    <w:abstractNumId w:val="20"/>
  </w:num>
  <w:num w:numId="28">
    <w:abstractNumId w:val="26"/>
  </w:num>
  <w:num w:numId="29">
    <w:abstractNumId w:val="8"/>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9F"/>
    <w:rsid w:val="0000363E"/>
    <w:rsid w:val="000451DD"/>
    <w:rsid w:val="00050DB0"/>
    <w:rsid w:val="00084C9F"/>
    <w:rsid w:val="000B366A"/>
    <w:rsid w:val="000E6372"/>
    <w:rsid w:val="00137D70"/>
    <w:rsid w:val="00162876"/>
    <w:rsid w:val="00170812"/>
    <w:rsid w:val="001C1DAC"/>
    <w:rsid w:val="001C2678"/>
    <w:rsid w:val="002301FF"/>
    <w:rsid w:val="0024059F"/>
    <w:rsid w:val="002504B8"/>
    <w:rsid w:val="00252F2F"/>
    <w:rsid w:val="00283808"/>
    <w:rsid w:val="002B1673"/>
    <w:rsid w:val="002B735B"/>
    <w:rsid w:val="002C1FFC"/>
    <w:rsid w:val="002C3BA5"/>
    <w:rsid w:val="0030776F"/>
    <w:rsid w:val="00323AA9"/>
    <w:rsid w:val="00340F15"/>
    <w:rsid w:val="003C35DF"/>
    <w:rsid w:val="003E7B76"/>
    <w:rsid w:val="003F623D"/>
    <w:rsid w:val="0041563C"/>
    <w:rsid w:val="00423BF3"/>
    <w:rsid w:val="00431397"/>
    <w:rsid w:val="00470B0F"/>
    <w:rsid w:val="0047268E"/>
    <w:rsid w:val="004A75F3"/>
    <w:rsid w:val="004E3224"/>
    <w:rsid w:val="0050092A"/>
    <w:rsid w:val="00511164"/>
    <w:rsid w:val="00513C5A"/>
    <w:rsid w:val="00520769"/>
    <w:rsid w:val="0056266E"/>
    <w:rsid w:val="00563139"/>
    <w:rsid w:val="0061092A"/>
    <w:rsid w:val="00637890"/>
    <w:rsid w:val="00644573"/>
    <w:rsid w:val="006641BA"/>
    <w:rsid w:val="00691E9D"/>
    <w:rsid w:val="006A0942"/>
    <w:rsid w:val="006E700A"/>
    <w:rsid w:val="00703045"/>
    <w:rsid w:val="00714072"/>
    <w:rsid w:val="0071434E"/>
    <w:rsid w:val="00774FDF"/>
    <w:rsid w:val="00790160"/>
    <w:rsid w:val="007C4AF5"/>
    <w:rsid w:val="007C68C2"/>
    <w:rsid w:val="007D058F"/>
    <w:rsid w:val="007D1930"/>
    <w:rsid w:val="00810B7B"/>
    <w:rsid w:val="00843342"/>
    <w:rsid w:val="00860371"/>
    <w:rsid w:val="00881E4C"/>
    <w:rsid w:val="008F01B6"/>
    <w:rsid w:val="008F0BCC"/>
    <w:rsid w:val="008F1F9F"/>
    <w:rsid w:val="008F7B8B"/>
    <w:rsid w:val="00901DD8"/>
    <w:rsid w:val="009055C1"/>
    <w:rsid w:val="009247EF"/>
    <w:rsid w:val="009274F3"/>
    <w:rsid w:val="009449B5"/>
    <w:rsid w:val="00982764"/>
    <w:rsid w:val="009A0E2E"/>
    <w:rsid w:val="009D58C3"/>
    <w:rsid w:val="009E1566"/>
    <w:rsid w:val="009F77C4"/>
    <w:rsid w:val="00A00508"/>
    <w:rsid w:val="00A129D1"/>
    <w:rsid w:val="00A53560"/>
    <w:rsid w:val="00A609AA"/>
    <w:rsid w:val="00AA74E8"/>
    <w:rsid w:val="00AD30A3"/>
    <w:rsid w:val="00B20B90"/>
    <w:rsid w:val="00B44726"/>
    <w:rsid w:val="00B448CE"/>
    <w:rsid w:val="00B9144C"/>
    <w:rsid w:val="00BE3AD6"/>
    <w:rsid w:val="00C03F39"/>
    <w:rsid w:val="00C1441B"/>
    <w:rsid w:val="00C1546F"/>
    <w:rsid w:val="00C43855"/>
    <w:rsid w:val="00C71523"/>
    <w:rsid w:val="00C86704"/>
    <w:rsid w:val="00C95683"/>
    <w:rsid w:val="00CB41E5"/>
    <w:rsid w:val="00CE48A8"/>
    <w:rsid w:val="00DD5AC7"/>
    <w:rsid w:val="00DD6712"/>
    <w:rsid w:val="00E33777"/>
    <w:rsid w:val="00E46C7C"/>
    <w:rsid w:val="00E54F9E"/>
    <w:rsid w:val="00E8208F"/>
    <w:rsid w:val="00E93015"/>
    <w:rsid w:val="00E958DF"/>
    <w:rsid w:val="00EA0311"/>
    <w:rsid w:val="00EA368A"/>
    <w:rsid w:val="00EA64CC"/>
    <w:rsid w:val="00F01F28"/>
    <w:rsid w:val="00F07431"/>
    <w:rsid w:val="00F427FE"/>
    <w:rsid w:val="00F51E81"/>
    <w:rsid w:val="00F52B2F"/>
    <w:rsid w:val="00F55AA8"/>
    <w:rsid w:val="00F55BED"/>
    <w:rsid w:val="00F70276"/>
    <w:rsid w:val="00F93382"/>
    <w:rsid w:val="00FC1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454A"/>
  <w15:chartTrackingRefBased/>
  <w15:docId w15:val="{39D2FA2D-7FA4-4340-8F2F-52524537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7D70"/>
    <w:pPr>
      <w:ind w:left="720"/>
      <w:contextualSpacing/>
    </w:pPr>
  </w:style>
  <w:style w:type="paragraph" w:styleId="NormalWeb">
    <w:name w:val="Normal (Web)"/>
    <w:basedOn w:val="Normal"/>
    <w:uiPriority w:val="99"/>
    <w:unhideWhenUsed/>
    <w:rsid w:val="00170812"/>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170812"/>
  </w:style>
  <w:style w:type="character" w:styleId="lev">
    <w:name w:val="Strong"/>
    <w:basedOn w:val="Policepardfaut"/>
    <w:uiPriority w:val="22"/>
    <w:qFormat/>
    <w:rsid w:val="00170812"/>
    <w:rPr>
      <w:b/>
      <w:bCs/>
    </w:rPr>
  </w:style>
  <w:style w:type="character" w:styleId="Accentuation">
    <w:name w:val="Emphasis"/>
    <w:basedOn w:val="Policepardfaut"/>
    <w:uiPriority w:val="20"/>
    <w:qFormat/>
    <w:rsid w:val="00170812"/>
    <w:rPr>
      <w:i/>
      <w:iCs/>
    </w:rPr>
  </w:style>
  <w:style w:type="table" w:styleId="Grilledutableau">
    <w:name w:val="Table Grid"/>
    <w:basedOn w:val="TableauNormal"/>
    <w:uiPriority w:val="39"/>
    <w:rsid w:val="00F07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5039">
      <w:bodyDiv w:val="1"/>
      <w:marLeft w:val="0"/>
      <w:marRight w:val="0"/>
      <w:marTop w:val="0"/>
      <w:marBottom w:val="0"/>
      <w:divBdr>
        <w:top w:val="none" w:sz="0" w:space="0" w:color="auto"/>
        <w:left w:val="none" w:sz="0" w:space="0" w:color="auto"/>
        <w:bottom w:val="none" w:sz="0" w:space="0" w:color="auto"/>
        <w:right w:val="none" w:sz="0" w:space="0" w:color="auto"/>
      </w:divBdr>
    </w:div>
    <w:div w:id="139621554">
      <w:bodyDiv w:val="1"/>
      <w:marLeft w:val="0"/>
      <w:marRight w:val="0"/>
      <w:marTop w:val="0"/>
      <w:marBottom w:val="0"/>
      <w:divBdr>
        <w:top w:val="none" w:sz="0" w:space="0" w:color="auto"/>
        <w:left w:val="none" w:sz="0" w:space="0" w:color="auto"/>
        <w:bottom w:val="none" w:sz="0" w:space="0" w:color="auto"/>
        <w:right w:val="none" w:sz="0" w:space="0" w:color="auto"/>
      </w:divBdr>
    </w:div>
    <w:div w:id="149300122">
      <w:bodyDiv w:val="1"/>
      <w:marLeft w:val="0"/>
      <w:marRight w:val="0"/>
      <w:marTop w:val="0"/>
      <w:marBottom w:val="0"/>
      <w:divBdr>
        <w:top w:val="none" w:sz="0" w:space="0" w:color="auto"/>
        <w:left w:val="none" w:sz="0" w:space="0" w:color="auto"/>
        <w:bottom w:val="none" w:sz="0" w:space="0" w:color="auto"/>
        <w:right w:val="none" w:sz="0" w:space="0" w:color="auto"/>
      </w:divBdr>
    </w:div>
    <w:div w:id="198013169">
      <w:bodyDiv w:val="1"/>
      <w:marLeft w:val="0"/>
      <w:marRight w:val="0"/>
      <w:marTop w:val="0"/>
      <w:marBottom w:val="0"/>
      <w:divBdr>
        <w:top w:val="none" w:sz="0" w:space="0" w:color="auto"/>
        <w:left w:val="none" w:sz="0" w:space="0" w:color="auto"/>
        <w:bottom w:val="none" w:sz="0" w:space="0" w:color="auto"/>
        <w:right w:val="none" w:sz="0" w:space="0" w:color="auto"/>
      </w:divBdr>
    </w:div>
    <w:div w:id="352725403">
      <w:bodyDiv w:val="1"/>
      <w:marLeft w:val="0"/>
      <w:marRight w:val="0"/>
      <w:marTop w:val="0"/>
      <w:marBottom w:val="0"/>
      <w:divBdr>
        <w:top w:val="none" w:sz="0" w:space="0" w:color="auto"/>
        <w:left w:val="none" w:sz="0" w:space="0" w:color="auto"/>
        <w:bottom w:val="none" w:sz="0" w:space="0" w:color="auto"/>
        <w:right w:val="none" w:sz="0" w:space="0" w:color="auto"/>
      </w:divBdr>
    </w:div>
    <w:div w:id="428351375">
      <w:bodyDiv w:val="1"/>
      <w:marLeft w:val="0"/>
      <w:marRight w:val="0"/>
      <w:marTop w:val="0"/>
      <w:marBottom w:val="0"/>
      <w:divBdr>
        <w:top w:val="none" w:sz="0" w:space="0" w:color="auto"/>
        <w:left w:val="none" w:sz="0" w:space="0" w:color="auto"/>
        <w:bottom w:val="none" w:sz="0" w:space="0" w:color="auto"/>
        <w:right w:val="none" w:sz="0" w:space="0" w:color="auto"/>
      </w:divBdr>
    </w:div>
    <w:div w:id="550312630">
      <w:bodyDiv w:val="1"/>
      <w:marLeft w:val="0"/>
      <w:marRight w:val="0"/>
      <w:marTop w:val="0"/>
      <w:marBottom w:val="0"/>
      <w:divBdr>
        <w:top w:val="none" w:sz="0" w:space="0" w:color="auto"/>
        <w:left w:val="none" w:sz="0" w:space="0" w:color="auto"/>
        <w:bottom w:val="none" w:sz="0" w:space="0" w:color="auto"/>
        <w:right w:val="none" w:sz="0" w:space="0" w:color="auto"/>
      </w:divBdr>
    </w:div>
    <w:div w:id="557666853">
      <w:bodyDiv w:val="1"/>
      <w:marLeft w:val="0"/>
      <w:marRight w:val="0"/>
      <w:marTop w:val="0"/>
      <w:marBottom w:val="0"/>
      <w:divBdr>
        <w:top w:val="none" w:sz="0" w:space="0" w:color="auto"/>
        <w:left w:val="none" w:sz="0" w:space="0" w:color="auto"/>
        <w:bottom w:val="none" w:sz="0" w:space="0" w:color="auto"/>
        <w:right w:val="none" w:sz="0" w:space="0" w:color="auto"/>
      </w:divBdr>
    </w:div>
    <w:div w:id="630594065">
      <w:bodyDiv w:val="1"/>
      <w:marLeft w:val="0"/>
      <w:marRight w:val="0"/>
      <w:marTop w:val="0"/>
      <w:marBottom w:val="0"/>
      <w:divBdr>
        <w:top w:val="none" w:sz="0" w:space="0" w:color="auto"/>
        <w:left w:val="none" w:sz="0" w:space="0" w:color="auto"/>
        <w:bottom w:val="none" w:sz="0" w:space="0" w:color="auto"/>
        <w:right w:val="none" w:sz="0" w:space="0" w:color="auto"/>
      </w:divBdr>
    </w:div>
    <w:div w:id="646786613">
      <w:bodyDiv w:val="1"/>
      <w:marLeft w:val="0"/>
      <w:marRight w:val="0"/>
      <w:marTop w:val="0"/>
      <w:marBottom w:val="0"/>
      <w:divBdr>
        <w:top w:val="none" w:sz="0" w:space="0" w:color="auto"/>
        <w:left w:val="none" w:sz="0" w:space="0" w:color="auto"/>
        <w:bottom w:val="none" w:sz="0" w:space="0" w:color="auto"/>
        <w:right w:val="none" w:sz="0" w:space="0" w:color="auto"/>
      </w:divBdr>
    </w:div>
    <w:div w:id="691611661">
      <w:bodyDiv w:val="1"/>
      <w:marLeft w:val="0"/>
      <w:marRight w:val="0"/>
      <w:marTop w:val="0"/>
      <w:marBottom w:val="0"/>
      <w:divBdr>
        <w:top w:val="none" w:sz="0" w:space="0" w:color="auto"/>
        <w:left w:val="none" w:sz="0" w:space="0" w:color="auto"/>
        <w:bottom w:val="none" w:sz="0" w:space="0" w:color="auto"/>
        <w:right w:val="none" w:sz="0" w:space="0" w:color="auto"/>
      </w:divBdr>
    </w:div>
    <w:div w:id="832257025">
      <w:bodyDiv w:val="1"/>
      <w:marLeft w:val="0"/>
      <w:marRight w:val="0"/>
      <w:marTop w:val="0"/>
      <w:marBottom w:val="0"/>
      <w:divBdr>
        <w:top w:val="none" w:sz="0" w:space="0" w:color="auto"/>
        <w:left w:val="none" w:sz="0" w:space="0" w:color="auto"/>
        <w:bottom w:val="none" w:sz="0" w:space="0" w:color="auto"/>
        <w:right w:val="none" w:sz="0" w:space="0" w:color="auto"/>
      </w:divBdr>
    </w:div>
    <w:div w:id="943876486">
      <w:bodyDiv w:val="1"/>
      <w:marLeft w:val="0"/>
      <w:marRight w:val="0"/>
      <w:marTop w:val="0"/>
      <w:marBottom w:val="0"/>
      <w:divBdr>
        <w:top w:val="none" w:sz="0" w:space="0" w:color="auto"/>
        <w:left w:val="none" w:sz="0" w:space="0" w:color="auto"/>
        <w:bottom w:val="none" w:sz="0" w:space="0" w:color="auto"/>
        <w:right w:val="none" w:sz="0" w:space="0" w:color="auto"/>
      </w:divBdr>
    </w:div>
    <w:div w:id="989285772">
      <w:bodyDiv w:val="1"/>
      <w:marLeft w:val="0"/>
      <w:marRight w:val="0"/>
      <w:marTop w:val="0"/>
      <w:marBottom w:val="0"/>
      <w:divBdr>
        <w:top w:val="none" w:sz="0" w:space="0" w:color="auto"/>
        <w:left w:val="none" w:sz="0" w:space="0" w:color="auto"/>
        <w:bottom w:val="none" w:sz="0" w:space="0" w:color="auto"/>
        <w:right w:val="none" w:sz="0" w:space="0" w:color="auto"/>
      </w:divBdr>
    </w:div>
    <w:div w:id="1093207661">
      <w:bodyDiv w:val="1"/>
      <w:marLeft w:val="0"/>
      <w:marRight w:val="0"/>
      <w:marTop w:val="0"/>
      <w:marBottom w:val="0"/>
      <w:divBdr>
        <w:top w:val="none" w:sz="0" w:space="0" w:color="auto"/>
        <w:left w:val="none" w:sz="0" w:space="0" w:color="auto"/>
        <w:bottom w:val="none" w:sz="0" w:space="0" w:color="auto"/>
        <w:right w:val="none" w:sz="0" w:space="0" w:color="auto"/>
      </w:divBdr>
    </w:div>
    <w:div w:id="1152983707">
      <w:bodyDiv w:val="1"/>
      <w:marLeft w:val="0"/>
      <w:marRight w:val="0"/>
      <w:marTop w:val="0"/>
      <w:marBottom w:val="0"/>
      <w:divBdr>
        <w:top w:val="none" w:sz="0" w:space="0" w:color="auto"/>
        <w:left w:val="none" w:sz="0" w:space="0" w:color="auto"/>
        <w:bottom w:val="none" w:sz="0" w:space="0" w:color="auto"/>
        <w:right w:val="none" w:sz="0" w:space="0" w:color="auto"/>
      </w:divBdr>
    </w:div>
    <w:div w:id="1233465777">
      <w:bodyDiv w:val="1"/>
      <w:marLeft w:val="0"/>
      <w:marRight w:val="0"/>
      <w:marTop w:val="0"/>
      <w:marBottom w:val="0"/>
      <w:divBdr>
        <w:top w:val="none" w:sz="0" w:space="0" w:color="auto"/>
        <w:left w:val="none" w:sz="0" w:space="0" w:color="auto"/>
        <w:bottom w:val="none" w:sz="0" w:space="0" w:color="auto"/>
        <w:right w:val="none" w:sz="0" w:space="0" w:color="auto"/>
      </w:divBdr>
    </w:div>
    <w:div w:id="1298951340">
      <w:bodyDiv w:val="1"/>
      <w:marLeft w:val="0"/>
      <w:marRight w:val="0"/>
      <w:marTop w:val="0"/>
      <w:marBottom w:val="0"/>
      <w:divBdr>
        <w:top w:val="none" w:sz="0" w:space="0" w:color="auto"/>
        <w:left w:val="none" w:sz="0" w:space="0" w:color="auto"/>
        <w:bottom w:val="none" w:sz="0" w:space="0" w:color="auto"/>
        <w:right w:val="none" w:sz="0" w:space="0" w:color="auto"/>
      </w:divBdr>
    </w:div>
    <w:div w:id="1393382934">
      <w:bodyDiv w:val="1"/>
      <w:marLeft w:val="0"/>
      <w:marRight w:val="0"/>
      <w:marTop w:val="0"/>
      <w:marBottom w:val="0"/>
      <w:divBdr>
        <w:top w:val="none" w:sz="0" w:space="0" w:color="auto"/>
        <w:left w:val="none" w:sz="0" w:space="0" w:color="auto"/>
        <w:bottom w:val="none" w:sz="0" w:space="0" w:color="auto"/>
        <w:right w:val="none" w:sz="0" w:space="0" w:color="auto"/>
      </w:divBdr>
    </w:div>
    <w:div w:id="1406489604">
      <w:bodyDiv w:val="1"/>
      <w:marLeft w:val="0"/>
      <w:marRight w:val="0"/>
      <w:marTop w:val="0"/>
      <w:marBottom w:val="0"/>
      <w:divBdr>
        <w:top w:val="none" w:sz="0" w:space="0" w:color="auto"/>
        <w:left w:val="none" w:sz="0" w:space="0" w:color="auto"/>
        <w:bottom w:val="none" w:sz="0" w:space="0" w:color="auto"/>
        <w:right w:val="none" w:sz="0" w:space="0" w:color="auto"/>
      </w:divBdr>
      <w:divsChild>
        <w:div w:id="1124274329">
          <w:marLeft w:val="0"/>
          <w:marRight w:val="0"/>
          <w:marTop w:val="0"/>
          <w:marBottom w:val="0"/>
          <w:divBdr>
            <w:top w:val="none" w:sz="0" w:space="0" w:color="auto"/>
            <w:left w:val="none" w:sz="0" w:space="0" w:color="auto"/>
            <w:bottom w:val="none" w:sz="0" w:space="0" w:color="auto"/>
            <w:right w:val="none" w:sz="0" w:space="0" w:color="auto"/>
          </w:divBdr>
          <w:divsChild>
            <w:div w:id="1580141151">
              <w:marLeft w:val="0"/>
              <w:marRight w:val="0"/>
              <w:marTop w:val="0"/>
              <w:marBottom w:val="0"/>
              <w:divBdr>
                <w:top w:val="none" w:sz="0" w:space="0" w:color="auto"/>
                <w:left w:val="none" w:sz="0" w:space="0" w:color="auto"/>
                <w:bottom w:val="none" w:sz="0" w:space="0" w:color="auto"/>
                <w:right w:val="none" w:sz="0" w:space="0" w:color="auto"/>
              </w:divBdr>
            </w:div>
            <w:div w:id="13770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2254">
      <w:bodyDiv w:val="1"/>
      <w:marLeft w:val="0"/>
      <w:marRight w:val="0"/>
      <w:marTop w:val="0"/>
      <w:marBottom w:val="0"/>
      <w:divBdr>
        <w:top w:val="none" w:sz="0" w:space="0" w:color="auto"/>
        <w:left w:val="none" w:sz="0" w:space="0" w:color="auto"/>
        <w:bottom w:val="none" w:sz="0" w:space="0" w:color="auto"/>
        <w:right w:val="none" w:sz="0" w:space="0" w:color="auto"/>
      </w:divBdr>
    </w:div>
    <w:div w:id="1586379080">
      <w:bodyDiv w:val="1"/>
      <w:marLeft w:val="0"/>
      <w:marRight w:val="0"/>
      <w:marTop w:val="0"/>
      <w:marBottom w:val="0"/>
      <w:divBdr>
        <w:top w:val="none" w:sz="0" w:space="0" w:color="auto"/>
        <w:left w:val="none" w:sz="0" w:space="0" w:color="auto"/>
        <w:bottom w:val="none" w:sz="0" w:space="0" w:color="auto"/>
        <w:right w:val="none" w:sz="0" w:space="0" w:color="auto"/>
      </w:divBdr>
    </w:div>
    <w:div w:id="1706052856">
      <w:bodyDiv w:val="1"/>
      <w:marLeft w:val="0"/>
      <w:marRight w:val="0"/>
      <w:marTop w:val="0"/>
      <w:marBottom w:val="0"/>
      <w:divBdr>
        <w:top w:val="none" w:sz="0" w:space="0" w:color="auto"/>
        <w:left w:val="none" w:sz="0" w:space="0" w:color="auto"/>
        <w:bottom w:val="none" w:sz="0" w:space="0" w:color="auto"/>
        <w:right w:val="none" w:sz="0" w:space="0" w:color="auto"/>
      </w:divBdr>
    </w:div>
    <w:div w:id="18217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1895</Words>
  <Characters>10423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2021-03-02T13:56:00Z</cp:lastPrinted>
  <dcterms:created xsi:type="dcterms:W3CDTF">2021-03-02T16:10:00Z</dcterms:created>
  <dcterms:modified xsi:type="dcterms:W3CDTF">2021-03-02T16:10:00Z</dcterms:modified>
</cp:coreProperties>
</file>