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BD" w:rsidRDefault="00130BBD" w:rsidP="0013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130BBD" w:rsidRDefault="00130BBD" w:rsidP="0013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E723B5" w:rsidRPr="00271A59">
        <w:rPr>
          <w:b/>
          <w:sz w:val="24"/>
          <w:szCs w:val="24"/>
        </w:rPr>
        <w:t xml:space="preserve">odalités de mise œuvre </w:t>
      </w:r>
      <w:r w:rsidR="00D3571B" w:rsidRPr="00271A59">
        <w:rPr>
          <w:b/>
          <w:sz w:val="24"/>
          <w:szCs w:val="24"/>
        </w:rPr>
        <w:t>de l’opposition au transfert des compétences relatives à l’eau et à l’assainissement des eaux usées aux communautés de communes</w:t>
      </w:r>
    </w:p>
    <w:p w:rsidR="00130BBD" w:rsidRPr="00271A59" w:rsidRDefault="00130BBD" w:rsidP="0013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130BBD" w:rsidRDefault="00130BBD" w:rsidP="000B3658">
      <w:pPr>
        <w:jc w:val="both"/>
        <w:rPr>
          <w:sz w:val="24"/>
          <w:szCs w:val="24"/>
        </w:rPr>
      </w:pPr>
    </w:p>
    <w:p w:rsidR="00D3571B" w:rsidRDefault="006C6586" w:rsidP="000B3658">
      <w:pPr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 w:rsidR="00D3571B">
        <w:rPr>
          <w:sz w:val="24"/>
          <w:szCs w:val="24"/>
        </w:rPr>
        <w:t xml:space="preserve"> projet de loi relatif à l’engagement </w:t>
      </w:r>
      <w:r w:rsidR="00125AA5">
        <w:rPr>
          <w:sz w:val="24"/>
          <w:szCs w:val="24"/>
        </w:rPr>
        <w:t>dans la vie locale et à la proximité de l’action publique</w:t>
      </w:r>
      <w:r>
        <w:rPr>
          <w:sz w:val="24"/>
          <w:szCs w:val="24"/>
        </w:rPr>
        <w:t xml:space="preserve"> présenté en Conseil des ministres le 17 juillet</w:t>
      </w:r>
      <w:r w:rsidR="00125AA5">
        <w:rPr>
          <w:sz w:val="24"/>
          <w:szCs w:val="24"/>
        </w:rPr>
        <w:t xml:space="preserve">, </w:t>
      </w:r>
      <w:r w:rsidR="007C0FAF">
        <w:rPr>
          <w:sz w:val="24"/>
          <w:szCs w:val="24"/>
        </w:rPr>
        <w:t>com</w:t>
      </w:r>
      <w:r>
        <w:rPr>
          <w:sz w:val="24"/>
          <w:szCs w:val="24"/>
        </w:rPr>
        <w:t>porte</w:t>
      </w:r>
      <w:r w:rsidR="007C0FAF">
        <w:rPr>
          <w:sz w:val="24"/>
          <w:szCs w:val="24"/>
        </w:rPr>
        <w:t>, à son article 5,</w:t>
      </w:r>
      <w:r>
        <w:rPr>
          <w:sz w:val="24"/>
          <w:szCs w:val="24"/>
        </w:rPr>
        <w:t xml:space="preserve"> une disposition visant à assouplir les modalités de </w:t>
      </w:r>
      <w:r w:rsidR="007C0FAF">
        <w:rPr>
          <w:sz w:val="24"/>
          <w:szCs w:val="24"/>
        </w:rPr>
        <w:t>report de la prise de compétence « eau » et « assainissement » au 1</w:t>
      </w:r>
      <w:r w:rsidR="007C0FAF" w:rsidRPr="00125AA5">
        <w:rPr>
          <w:sz w:val="24"/>
          <w:szCs w:val="24"/>
          <w:vertAlign w:val="superscript"/>
        </w:rPr>
        <w:t>er</w:t>
      </w:r>
      <w:r w:rsidR="007C0FAF">
        <w:rPr>
          <w:sz w:val="24"/>
          <w:szCs w:val="24"/>
        </w:rPr>
        <w:t xml:space="preserve"> janvier 2026 par les communautés de communes, ainsi qu’à préciser les conditions de </w:t>
      </w:r>
      <w:r>
        <w:rPr>
          <w:sz w:val="24"/>
          <w:szCs w:val="24"/>
        </w:rPr>
        <w:t>mise en œuvre de</w:t>
      </w:r>
      <w:r w:rsidR="007C0FAF">
        <w:rPr>
          <w:sz w:val="24"/>
          <w:szCs w:val="24"/>
        </w:rPr>
        <w:t xml:space="preserve"> ce</w:t>
      </w:r>
      <w:r>
        <w:rPr>
          <w:sz w:val="24"/>
          <w:szCs w:val="24"/>
        </w:rPr>
        <w:t>s compétences par les communautés de communes</w:t>
      </w:r>
      <w:r w:rsidR="00D37472">
        <w:rPr>
          <w:sz w:val="24"/>
          <w:szCs w:val="24"/>
        </w:rPr>
        <w:t>,</w:t>
      </w:r>
      <w:r w:rsidR="00732D13" w:rsidRPr="00732D13">
        <w:rPr>
          <w:sz w:val="24"/>
          <w:szCs w:val="24"/>
        </w:rPr>
        <w:t xml:space="preserve"> </w:t>
      </w:r>
      <w:r w:rsidR="00732D13">
        <w:rPr>
          <w:sz w:val="24"/>
          <w:szCs w:val="24"/>
        </w:rPr>
        <w:t>quand elles les exercent</w:t>
      </w:r>
      <w:r w:rsidR="00D37472">
        <w:rPr>
          <w:sz w:val="24"/>
          <w:szCs w:val="24"/>
        </w:rPr>
        <w:t>,</w:t>
      </w:r>
      <w:r>
        <w:rPr>
          <w:sz w:val="24"/>
          <w:szCs w:val="24"/>
        </w:rPr>
        <w:t xml:space="preserve"> et </w:t>
      </w:r>
      <w:r w:rsidR="00732D13">
        <w:rPr>
          <w:sz w:val="24"/>
          <w:szCs w:val="24"/>
        </w:rPr>
        <w:t xml:space="preserve">les </w:t>
      </w:r>
      <w:r>
        <w:rPr>
          <w:sz w:val="24"/>
          <w:szCs w:val="24"/>
        </w:rPr>
        <w:t>communautés d’agglomération</w:t>
      </w:r>
      <w:r w:rsidR="00125AA5">
        <w:rPr>
          <w:sz w:val="24"/>
          <w:szCs w:val="24"/>
        </w:rPr>
        <w:t>.</w:t>
      </w:r>
    </w:p>
    <w:p w:rsidR="00125AA5" w:rsidRDefault="00125AA5" w:rsidP="000B3658">
      <w:pPr>
        <w:jc w:val="both"/>
        <w:rPr>
          <w:sz w:val="24"/>
          <w:szCs w:val="24"/>
        </w:rPr>
      </w:pPr>
    </w:p>
    <w:p w:rsidR="00125AA5" w:rsidRPr="00125AA5" w:rsidRDefault="006C6586" w:rsidP="00125AA5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125AA5" w:rsidRPr="00125AA5">
        <w:rPr>
          <w:sz w:val="24"/>
          <w:szCs w:val="24"/>
        </w:rPr>
        <w:t xml:space="preserve">es articles 64 et 66 de la loi n° 2015-991 du 7 août 2015 portant nouvelle organisation territoriale de la République (loi NOTRe) ont attribué, à titre obligatoire, les compétences eau et assainissement aux communautés de communes et aux communautés d’agglomération à compter du 1er janvier 2020, les communautés urbaines et les métropoles les exerçant déjà à titre obligatoire. </w:t>
      </w:r>
    </w:p>
    <w:p w:rsidR="00125AA5" w:rsidRPr="00125AA5" w:rsidRDefault="00125AA5" w:rsidP="00125AA5">
      <w:pPr>
        <w:jc w:val="both"/>
        <w:rPr>
          <w:sz w:val="24"/>
          <w:szCs w:val="24"/>
        </w:rPr>
      </w:pPr>
    </w:p>
    <w:p w:rsidR="00125AA5" w:rsidRPr="00125AA5" w:rsidRDefault="00125AA5" w:rsidP="0046559E">
      <w:pPr>
        <w:jc w:val="both"/>
        <w:rPr>
          <w:sz w:val="24"/>
          <w:szCs w:val="24"/>
        </w:rPr>
      </w:pPr>
      <w:r w:rsidRPr="00125AA5">
        <w:rPr>
          <w:sz w:val="24"/>
          <w:szCs w:val="24"/>
        </w:rPr>
        <w:t>La loi n° 2018-702 du 3 août 2018 relative à la mise en œuvre du transfert des compétences eau et assainissement aux communautés de communes</w:t>
      </w:r>
      <w:r>
        <w:rPr>
          <w:sz w:val="24"/>
          <w:szCs w:val="24"/>
        </w:rPr>
        <w:t xml:space="preserve"> </w:t>
      </w:r>
      <w:r w:rsidR="007C0FAF">
        <w:rPr>
          <w:sz w:val="24"/>
          <w:szCs w:val="24"/>
        </w:rPr>
        <w:t xml:space="preserve">a </w:t>
      </w:r>
      <w:r>
        <w:rPr>
          <w:sz w:val="24"/>
          <w:szCs w:val="24"/>
        </w:rPr>
        <w:t>aménag</w:t>
      </w:r>
      <w:r w:rsidR="007C0FAF">
        <w:rPr>
          <w:sz w:val="24"/>
          <w:szCs w:val="24"/>
        </w:rPr>
        <w:t>é</w:t>
      </w:r>
      <w:r>
        <w:rPr>
          <w:sz w:val="24"/>
          <w:szCs w:val="24"/>
        </w:rPr>
        <w:t xml:space="preserve"> les modalités de ce transfert</w:t>
      </w:r>
      <w:r w:rsidRPr="00125AA5">
        <w:rPr>
          <w:sz w:val="24"/>
          <w:szCs w:val="24"/>
        </w:rPr>
        <w:t>,</w:t>
      </w:r>
      <w:r w:rsidR="0046559E">
        <w:rPr>
          <w:sz w:val="24"/>
          <w:szCs w:val="24"/>
        </w:rPr>
        <w:t xml:space="preserve"> tout en maintenant son caractère obligatoire.</w:t>
      </w:r>
      <w:r w:rsidRPr="00125AA5">
        <w:rPr>
          <w:sz w:val="24"/>
          <w:szCs w:val="24"/>
        </w:rPr>
        <w:t xml:space="preserve"> </w:t>
      </w:r>
      <w:r>
        <w:rPr>
          <w:sz w:val="24"/>
          <w:szCs w:val="24"/>
        </w:rPr>
        <w:t>Ainsi, un mécanisme de</w:t>
      </w:r>
      <w:r w:rsidRPr="00125AA5">
        <w:rPr>
          <w:sz w:val="24"/>
          <w:szCs w:val="24"/>
        </w:rPr>
        <w:t xml:space="preserve"> minorité de</w:t>
      </w:r>
      <w:r w:rsidR="002F1C6D">
        <w:rPr>
          <w:sz w:val="24"/>
          <w:szCs w:val="24"/>
        </w:rPr>
        <w:t xml:space="preserve"> blocage prévu par l’article 1</w:t>
      </w:r>
      <w:r w:rsidR="002F1C6D" w:rsidRPr="002F1C6D">
        <w:rPr>
          <w:sz w:val="24"/>
          <w:szCs w:val="24"/>
          <w:vertAlign w:val="superscript"/>
        </w:rPr>
        <w:t>er</w:t>
      </w:r>
      <w:r w:rsidR="002F1C6D">
        <w:rPr>
          <w:sz w:val="24"/>
          <w:szCs w:val="24"/>
        </w:rPr>
        <w:t xml:space="preserve"> </w:t>
      </w:r>
      <w:r w:rsidR="004A5A96">
        <w:rPr>
          <w:sz w:val="24"/>
          <w:szCs w:val="24"/>
        </w:rPr>
        <w:t xml:space="preserve">de </w:t>
      </w:r>
      <w:r w:rsidRPr="00125AA5">
        <w:rPr>
          <w:sz w:val="24"/>
          <w:szCs w:val="24"/>
        </w:rPr>
        <w:t xml:space="preserve">la loi </w:t>
      </w:r>
      <w:r>
        <w:rPr>
          <w:sz w:val="24"/>
          <w:szCs w:val="24"/>
        </w:rPr>
        <w:t>précitée</w:t>
      </w:r>
      <w:r w:rsidRPr="00125AA5">
        <w:rPr>
          <w:sz w:val="24"/>
          <w:szCs w:val="24"/>
        </w:rPr>
        <w:t xml:space="preserve"> </w:t>
      </w:r>
      <w:r w:rsidR="007C0FAF">
        <w:rPr>
          <w:sz w:val="24"/>
          <w:szCs w:val="24"/>
        </w:rPr>
        <w:t>autorise</w:t>
      </w:r>
      <w:r w:rsidRPr="00125AA5">
        <w:rPr>
          <w:sz w:val="24"/>
          <w:szCs w:val="24"/>
        </w:rPr>
        <w:t xml:space="preserve"> le report du transfert obligatoire des compétences eau et/ou assainissement au 1er janvier 2026 au plus tard, si 25 % des communes membres représentant 20 % de la population intercommunale s</w:t>
      </w:r>
      <w:r w:rsidR="007C0FAF">
        <w:rPr>
          <w:sz w:val="24"/>
          <w:szCs w:val="24"/>
        </w:rPr>
        <w:t>e sont</w:t>
      </w:r>
      <w:r w:rsidR="00800198">
        <w:rPr>
          <w:sz w:val="24"/>
          <w:szCs w:val="24"/>
        </w:rPr>
        <w:t xml:space="preserve"> </w:t>
      </w:r>
      <w:r w:rsidRPr="00125AA5">
        <w:rPr>
          <w:sz w:val="24"/>
          <w:szCs w:val="24"/>
        </w:rPr>
        <w:t>oppos</w:t>
      </w:r>
      <w:r w:rsidR="007C0FAF">
        <w:rPr>
          <w:sz w:val="24"/>
          <w:szCs w:val="24"/>
        </w:rPr>
        <w:t>ées</w:t>
      </w:r>
      <w:r w:rsidRPr="00125AA5">
        <w:rPr>
          <w:sz w:val="24"/>
          <w:szCs w:val="24"/>
        </w:rPr>
        <w:t xml:space="preserve"> à ce transfert avant le 1er juillet 2019. </w:t>
      </w:r>
    </w:p>
    <w:p w:rsidR="00271A59" w:rsidRDefault="00271A59" w:rsidP="00125AA5">
      <w:pPr>
        <w:jc w:val="both"/>
        <w:rPr>
          <w:sz w:val="24"/>
          <w:szCs w:val="24"/>
        </w:rPr>
      </w:pPr>
    </w:p>
    <w:p w:rsidR="00125AA5" w:rsidRDefault="00125AA5" w:rsidP="00125AA5">
      <w:pPr>
        <w:jc w:val="both"/>
        <w:rPr>
          <w:sz w:val="24"/>
          <w:szCs w:val="24"/>
        </w:rPr>
      </w:pPr>
      <w:r w:rsidRPr="00125AA5">
        <w:rPr>
          <w:sz w:val="24"/>
          <w:szCs w:val="24"/>
        </w:rPr>
        <w:t xml:space="preserve">Ce pouvoir d’opposition a été réservé aux communautés de communes, puisque ce sont elles qui couvrent majoritairement </w:t>
      </w:r>
      <w:r w:rsidR="00D41490">
        <w:rPr>
          <w:sz w:val="24"/>
          <w:szCs w:val="24"/>
        </w:rPr>
        <w:t>les</w:t>
      </w:r>
      <w:r w:rsidRPr="00125AA5">
        <w:rPr>
          <w:sz w:val="24"/>
          <w:szCs w:val="24"/>
        </w:rPr>
        <w:t xml:space="preserve"> zones rurales et de montagne où les élus ont </w:t>
      </w:r>
      <w:r w:rsidR="00D41490">
        <w:rPr>
          <w:sz w:val="24"/>
          <w:szCs w:val="24"/>
        </w:rPr>
        <w:t xml:space="preserve">le plus fortement </w:t>
      </w:r>
      <w:r w:rsidRPr="00125AA5">
        <w:rPr>
          <w:sz w:val="24"/>
          <w:szCs w:val="24"/>
        </w:rPr>
        <w:t xml:space="preserve">souligné la nécessité de disposer d’un temps supplémentaire pour organiser le transfert. La loi </w:t>
      </w:r>
      <w:r w:rsidR="00D41490">
        <w:rPr>
          <w:sz w:val="24"/>
          <w:szCs w:val="24"/>
        </w:rPr>
        <w:t xml:space="preserve">en vigueur </w:t>
      </w:r>
      <w:r w:rsidRPr="00125AA5">
        <w:rPr>
          <w:sz w:val="24"/>
          <w:szCs w:val="24"/>
        </w:rPr>
        <w:t>encadre les modalités de ce report, lequel ne peut intervenir que si une communauté de communes n’exer</w:t>
      </w:r>
      <w:r w:rsidR="0046559E">
        <w:rPr>
          <w:sz w:val="24"/>
          <w:szCs w:val="24"/>
        </w:rPr>
        <w:t>çait</w:t>
      </w:r>
      <w:r w:rsidRPr="00125AA5">
        <w:rPr>
          <w:sz w:val="24"/>
          <w:szCs w:val="24"/>
        </w:rPr>
        <w:t xml:space="preserve"> pas à la date de publication de la loi, soit le 5 août 2018, à titre optionnel ou facultatif, ces deux compétences ou l’une d’entre elles. </w:t>
      </w:r>
      <w:r w:rsidR="007C0FAF">
        <w:rPr>
          <w:sz w:val="24"/>
          <w:szCs w:val="24"/>
        </w:rPr>
        <w:t>La loi prévoit cependant la possibilité d’</w:t>
      </w:r>
      <w:r w:rsidRPr="00125AA5">
        <w:rPr>
          <w:sz w:val="24"/>
          <w:szCs w:val="24"/>
        </w:rPr>
        <w:t xml:space="preserve">activer </w:t>
      </w:r>
      <w:r w:rsidR="007C0FAF">
        <w:rPr>
          <w:sz w:val="24"/>
          <w:szCs w:val="24"/>
        </w:rPr>
        <w:t>la</w:t>
      </w:r>
      <w:r w:rsidRPr="00125AA5">
        <w:rPr>
          <w:sz w:val="24"/>
          <w:szCs w:val="24"/>
        </w:rPr>
        <w:t xml:space="preserve"> minorité de blocage</w:t>
      </w:r>
      <w:r w:rsidR="007C0FAF">
        <w:rPr>
          <w:sz w:val="24"/>
          <w:szCs w:val="24"/>
        </w:rPr>
        <w:t xml:space="preserve"> du transfert de la compétence « assainissement » à la communauté de communes</w:t>
      </w:r>
      <w:r w:rsidRPr="00125AA5">
        <w:rPr>
          <w:sz w:val="24"/>
          <w:szCs w:val="24"/>
        </w:rPr>
        <w:t xml:space="preserve"> </w:t>
      </w:r>
      <w:r w:rsidR="007C0FAF">
        <w:rPr>
          <w:sz w:val="24"/>
          <w:szCs w:val="24"/>
        </w:rPr>
        <w:t xml:space="preserve">en cas du seul </w:t>
      </w:r>
      <w:r w:rsidRPr="00125AA5">
        <w:rPr>
          <w:sz w:val="24"/>
          <w:szCs w:val="24"/>
        </w:rPr>
        <w:t xml:space="preserve">exercice </w:t>
      </w:r>
      <w:r w:rsidR="007C0FAF">
        <w:rPr>
          <w:sz w:val="24"/>
          <w:szCs w:val="24"/>
        </w:rPr>
        <w:t xml:space="preserve">par cette dernière, à titre </w:t>
      </w:r>
      <w:r w:rsidR="00800198">
        <w:rPr>
          <w:sz w:val="24"/>
          <w:szCs w:val="24"/>
        </w:rPr>
        <w:t>facultatif</w:t>
      </w:r>
      <w:r w:rsidR="007C0FAF">
        <w:rPr>
          <w:sz w:val="24"/>
          <w:szCs w:val="24"/>
        </w:rPr>
        <w:t xml:space="preserve">, </w:t>
      </w:r>
      <w:r w:rsidRPr="00125AA5">
        <w:rPr>
          <w:sz w:val="24"/>
          <w:szCs w:val="24"/>
        </w:rPr>
        <w:t xml:space="preserve">des missions du service public d’assainissement non collectif. </w:t>
      </w:r>
    </w:p>
    <w:p w:rsidR="00125AA5" w:rsidRPr="00125AA5" w:rsidRDefault="00125AA5" w:rsidP="00125AA5">
      <w:pPr>
        <w:jc w:val="both"/>
        <w:rPr>
          <w:sz w:val="24"/>
          <w:szCs w:val="24"/>
        </w:rPr>
      </w:pPr>
    </w:p>
    <w:p w:rsidR="0013716D" w:rsidRDefault="007C0FAF" w:rsidP="00125AA5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13716D">
        <w:rPr>
          <w:sz w:val="24"/>
          <w:szCs w:val="24"/>
        </w:rPr>
        <w:t>e projet de loi su</w:t>
      </w:r>
      <w:r w:rsidR="006C6586">
        <w:rPr>
          <w:sz w:val="24"/>
          <w:szCs w:val="24"/>
        </w:rPr>
        <w:t xml:space="preserve">r l’engagement </w:t>
      </w:r>
      <w:r w:rsidR="00826B4F">
        <w:rPr>
          <w:sz w:val="24"/>
          <w:szCs w:val="24"/>
        </w:rPr>
        <w:t>dans la vie locale et à la proximité de l’action publique</w:t>
      </w:r>
      <w:r w:rsidR="00800198">
        <w:rPr>
          <w:sz w:val="24"/>
          <w:szCs w:val="24"/>
        </w:rPr>
        <w:t xml:space="preserve"> </w:t>
      </w:r>
      <w:r w:rsidR="006C6586">
        <w:rPr>
          <w:sz w:val="24"/>
          <w:szCs w:val="24"/>
        </w:rPr>
        <w:t xml:space="preserve">vise à </w:t>
      </w:r>
      <w:r w:rsidR="0046559E">
        <w:rPr>
          <w:sz w:val="24"/>
          <w:szCs w:val="24"/>
        </w:rPr>
        <w:t>élargir les possibilités de report du transfert de compétence pour les</w:t>
      </w:r>
      <w:r w:rsidR="0013716D">
        <w:rPr>
          <w:sz w:val="24"/>
          <w:szCs w:val="24"/>
        </w:rPr>
        <w:t xml:space="preserve"> comm</w:t>
      </w:r>
      <w:r w:rsidR="00570197">
        <w:rPr>
          <w:sz w:val="24"/>
          <w:szCs w:val="24"/>
        </w:rPr>
        <w:t>unautés de communes exerçant</w:t>
      </w:r>
      <w:r w:rsidR="00826B4F">
        <w:rPr>
          <w:sz w:val="24"/>
          <w:szCs w:val="24"/>
        </w:rPr>
        <w:t xml:space="preserve"> déjà</w:t>
      </w:r>
      <w:r w:rsidR="00570197">
        <w:rPr>
          <w:sz w:val="24"/>
          <w:szCs w:val="24"/>
        </w:rPr>
        <w:t>, au 5 août 2018, une partie de la compétence eau ou une partie de la compétence assainissement.</w:t>
      </w:r>
      <w:r w:rsidR="0013716D">
        <w:rPr>
          <w:sz w:val="24"/>
          <w:szCs w:val="24"/>
        </w:rPr>
        <w:t xml:space="preserve"> </w:t>
      </w:r>
      <w:r w:rsidR="006C6586">
        <w:rPr>
          <w:sz w:val="24"/>
          <w:szCs w:val="24"/>
        </w:rPr>
        <w:t>Afin de</w:t>
      </w:r>
      <w:r w:rsidR="00570197">
        <w:rPr>
          <w:sz w:val="24"/>
          <w:szCs w:val="24"/>
        </w:rPr>
        <w:t xml:space="preserve"> laisser un temps supplémentaire aux communes pour se saisir de cette possibilité de report, </w:t>
      </w:r>
      <w:r w:rsidR="006C6586">
        <w:rPr>
          <w:sz w:val="24"/>
          <w:szCs w:val="24"/>
        </w:rPr>
        <w:t xml:space="preserve">le projet de loi prévoit de décaler </w:t>
      </w:r>
      <w:r w:rsidR="00570197">
        <w:rPr>
          <w:sz w:val="24"/>
          <w:szCs w:val="24"/>
        </w:rPr>
        <w:t>la date limite pour activer une mi</w:t>
      </w:r>
      <w:r w:rsidR="00544F3A">
        <w:rPr>
          <w:sz w:val="24"/>
          <w:szCs w:val="24"/>
        </w:rPr>
        <w:t xml:space="preserve">norité de blocage </w:t>
      </w:r>
      <w:r w:rsidR="006C6586">
        <w:rPr>
          <w:sz w:val="24"/>
          <w:szCs w:val="24"/>
        </w:rPr>
        <w:t xml:space="preserve">du </w:t>
      </w:r>
      <w:r w:rsidR="00544F3A">
        <w:rPr>
          <w:sz w:val="24"/>
          <w:szCs w:val="24"/>
        </w:rPr>
        <w:t>30 juin au</w:t>
      </w:r>
      <w:r w:rsidR="0013716D">
        <w:rPr>
          <w:sz w:val="24"/>
          <w:szCs w:val="24"/>
        </w:rPr>
        <w:t xml:space="preserve"> 31 décembre 2019.</w:t>
      </w:r>
    </w:p>
    <w:p w:rsidR="0046559E" w:rsidRDefault="0046559E" w:rsidP="00125AA5">
      <w:pPr>
        <w:jc w:val="both"/>
        <w:rPr>
          <w:sz w:val="24"/>
          <w:szCs w:val="24"/>
        </w:rPr>
      </w:pPr>
    </w:p>
    <w:p w:rsidR="0046559E" w:rsidRDefault="0046559E" w:rsidP="0046559E">
      <w:pPr>
        <w:jc w:val="both"/>
        <w:rPr>
          <w:sz w:val="24"/>
          <w:szCs w:val="24"/>
        </w:rPr>
      </w:pPr>
      <w:r>
        <w:rPr>
          <w:sz w:val="24"/>
          <w:szCs w:val="24"/>
        </w:rPr>
        <w:t>Le II de l’article 5 du projet de loi dispose que « </w:t>
      </w:r>
      <w:r w:rsidRPr="003D74DC">
        <w:rPr>
          <w:i/>
          <w:sz w:val="24"/>
          <w:szCs w:val="24"/>
        </w:rPr>
        <w:t>toutes les délibérations prises avant le 1er janvier 2020 dans les conditions requises au premier alinéa de l’article 1er de la loi n° 2018-702 du 3 août 2018 relative à la mise en œuvre du transfert des compétences eau et assainissement aux communautés de communes ayant pour objet de s’opposer au transfert des compétences relatives à l’eau ou à l’assainissement, de l’une d’entre elles ou d’une partie d’entre elles ont pour effet de reporter le transfert de compétence au 1er janvier 2026.</w:t>
      </w:r>
      <w:r>
        <w:rPr>
          <w:sz w:val="24"/>
          <w:szCs w:val="24"/>
        </w:rPr>
        <w:t> »</w:t>
      </w:r>
    </w:p>
    <w:p w:rsidR="008F4D0A" w:rsidRDefault="008F4D0A" w:rsidP="0046559E">
      <w:pPr>
        <w:jc w:val="both"/>
        <w:rPr>
          <w:sz w:val="24"/>
          <w:szCs w:val="24"/>
        </w:rPr>
      </w:pPr>
    </w:p>
    <w:p w:rsidR="00822D3F" w:rsidRDefault="00721088" w:rsidP="00125AA5">
      <w:pPr>
        <w:jc w:val="both"/>
        <w:rPr>
          <w:sz w:val="24"/>
          <w:szCs w:val="24"/>
        </w:rPr>
      </w:pPr>
      <w:r>
        <w:rPr>
          <w:sz w:val="24"/>
          <w:szCs w:val="24"/>
        </w:rPr>
        <w:t>Le projet de loi</w:t>
      </w:r>
      <w:r w:rsidR="00544F3A">
        <w:rPr>
          <w:sz w:val="24"/>
          <w:szCs w:val="24"/>
        </w:rPr>
        <w:t xml:space="preserve"> sera examiné au Parlement à l’automne.</w:t>
      </w:r>
      <w:r>
        <w:rPr>
          <w:sz w:val="24"/>
          <w:szCs w:val="24"/>
        </w:rPr>
        <w:t xml:space="preserve"> </w:t>
      </w:r>
      <w:r w:rsidR="00737153">
        <w:rPr>
          <w:sz w:val="24"/>
          <w:szCs w:val="24"/>
        </w:rPr>
        <w:t>D</w:t>
      </w:r>
      <w:r w:rsidR="00D44886">
        <w:rPr>
          <w:sz w:val="24"/>
          <w:szCs w:val="24"/>
        </w:rPr>
        <w:t xml:space="preserve">es communes </w:t>
      </w:r>
      <w:r>
        <w:rPr>
          <w:sz w:val="24"/>
          <w:szCs w:val="24"/>
        </w:rPr>
        <w:t>rempliss</w:t>
      </w:r>
      <w:r w:rsidR="00D109B8">
        <w:rPr>
          <w:sz w:val="24"/>
          <w:szCs w:val="24"/>
        </w:rPr>
        <w:t>a</w:t>
      </w:r>
      <w:r w:rsidR="00737153">
        <w:rPr>
          <w:sz w:val="24"/>
          <w:szCs w:val="24"/>
        </w:rPr>
        <w:t xml:space="preserve">nt les conditions décrites ci-dessus pourraient </w:t>
      </w:r>
      <w:r w:rsidR="00D44886">
        <w:rPr>
          <w:sz w:val="24"/>
          <w:szCs w:val="24"/>
        </w:rPr>
        <w:t>souhaite</w:t>
      </w:r>
      <w:r w:rsidR="00737153">
        <w:rPr>
          <w:sz w:val="24"/>
          <w:szCs w:val="24"/>
        </w:rPr>
        <w:t>r</w:t>
      </w:r>
      <w:r w:rsidR="00D44886">
        <w:rPr>
          <w:sz w:val="24"/>
          <w:szCs w:val="24"/>
        </w:rPr>
        <w:t xml:space="preserve"> </w:t>
      </w:r>
      <w:r w:rsidR="00822D3F">
        <w:rPr>
          <w:sz w:val="24"/>
          <w:szCs w:val="24"/>
        </w:rPr>
        <w:t xml:space="preserve">d’ores et déjà </w:t>
      </w:r>
      <w:r w:rsidR="00D44886">
        <w:rPr>
          <w:sz w:val="24"/>
          <w:szCs w:val="24"/>
        </w:rPr>
        <w:t xml:space="preserve">s’appuyer sur </w:t>
      </w:r>
      <w:r w:rsidR="0046559E">
        <w:rPr>
          <w:sz w:val="24"/>
          <w:szCs w:val="24"/>
        </w:rPr>
        <w:t>l</w:t>
      </w:r>
      <w:r w:rsidR="00D44886">
        <w:rPr>
          <w:sz w:val="24"/>
          <w:szCs w:val="24"/>
        </w:rPr>
        <w:t>es dispositions</w:t>
      </w:r>
      <w:r w:rsidR="0046559E">
        <w:rPr>
          <w:sz w:val="24"/>
          <w:szCs w:val="24"/>
        </w:rPr>
        <w:t xml:space="preserve"> qu’il contient à ce stade</w:t>
      </w:r>
      <w:r w:rsidR="00D44886">
        <w:rPr>
          <w:sz w:val="24"/>
          <w:szCs w:val="24"/>
        </w:rPr>
        <w:t xml:space="preserve"> pour délibérer en faveur d’un report de la compétence, sans attendre la promulgation de</w:t>
      </w:r>
      <w:r w:rsidR="00826B4F">
        <w:rPr>
          <w:sz w:val="24"/>
          <w:szCs w:val="24"/>
        </w:rPr>
        <w:t xml:space="preserve"> la</w:t>
      </w:r>
      <w:r w:rsidR="00D44886">
        <w:rPr>
          <w:sz w:val="24"/>
          <w:szCs w:val="24"/>
        </w:rPr>
        <w:t xml:space="preserve"> loi</w:t>
      </w:r>
      <w:r w:rsidR="00544F3A">
        <w:rPr>
          <w:sz w:val="24"/>
          <w:szCs w:val="24"/>
        </w:rPr>
        <w:t xml:space="preserve">. </w:t>
      </w:r>
    </w:p>
    <w:p w:rsidR="00822D3F" w:rsidRDefault="00822D3F" w:rsidP="00125AA5">
      <w:pPr>
        <w:jc w:val="both"/>
        <w:rPr>
          <w:sz w:val="24"/>
          <w:szCs w:val="24"/>
        </w:rPr>
      </w:pPr>
    </w:p>
    <w:p w:rsidR="00DF03BE" w:rsidRDefault="00737153" w:rsidP="00125AA5">
      <w:pPr>
        <w:jc w:val="both"/>
        <w:rPr>
          <w:sz w:val="24"/>
          <w:szCs w:val="24"/>
        </w:rPr>
      </w:pPr>
      <w:r>
        <w:rPr>
          <w:sz w:val="24"/>
          <w:szCs w:val="24"/>
        </w:rPr>
        <w:t>Si l</w:t>
      </w:r>
      <w:r w:rsidR="00822D3F">
        <w:rPr>
          <w:sz w:val="24"/>
          <w:szCs w:val="24"/>
        </w:rPr>
        <w:t xml:space="preserve">es </w:t>
      </w:r>
      <w:r w:rsidR="0046559E">
        <w:rPr>
          <w:sz w:val="24"/>
          <w:szCs w:val="24"/>
        </w:rPr>
        <w:t xml:space="preserve">conseils municipaux </w:t>
      </w:r>
      <w:r w:rsidR="00822D3F">
        <w:rPr>
          <w:sz w:val="24"/>
          <w:szCs w:val="24"/>
        </w:rPr>
        <w:t>peuvent délibérer sans attendre la promulgation de la loi, c</w:t>
      </w:r>
      <w:r w:rsidR="00DF03BE">
        <w:rPr>
          <w:sz w:val="24"/>
          <w:szCs w:val="24"/>
        </w:rPr>
        <w:t xml:space="preserve">es délibérations </w:t>
      </w:r>
      <w:r w:rsidR="00D44886">
        <w:rPr>
          <w:sz w:val="24"/>
          <w:szCs w:val="24"/>
        </w:rPr>
        <w:t xml:space="preserve">ne sauraient produire leurs </w:t>
      </w:r>
      <w:r w:rsidR="00DF03BE">
        <w:rPr>
          <w:sz w:val="24"/>
          <w:szCs w:val="24"/>
        </w:rPr>
        <w:t>effet</w:t>
      </w:r>
      <w:r w:rsidR="00D44886">
        <w:rPr>
          <w:sz w:val="24"/>
          <w:szCs w:val="24"/>
        </w:rPr>
        <w:t>s</w:t>
      </w:r>
      <w:r w:rsidR="00DF03BE">
        <w:rPr>
          <w:sz w:val="24"/>
          <w:szCs w:val="24"/>
        </w:rPr>
        <w:t xml:space="preserve"> qu’en fonction </w:t>
      </w:r>
      <w:r w:rsidR="00DE0BA2">
        <w:rPr>
          <w:sz w:val="24"/>
          <w:szCs w:val="24"/>
        </w:rPr>
        <w:t xml:space="preserve">du contenu </w:t>
      </w:r>
      <w:r w:rsidR="00DF03BE">
        <w:rPr>
          <w:sz w:val="24"/>
          <w:szCs w:val="24"/>
        </w:rPr>
        <w:t xml:space="preserve">de la loi promulguée. </w:t>
      </w:r>
      <w:r w:rsidR="00822D3F">
        <w:rPr>
          <w:sz w:val="24"/>
          <w:szCs w:val="24"/>
        </w:rPr>
        <w:t>En tout état de cause, la date de délibération au plus tard le 31 décembre 2019 est</w:t>
      </w:r>
      <w:r w:rsidR="003D74DC">
        <w:rPr>
          <w:sz w:val="24"/>
          <w:szCs w:val="24"/>
        </w:rPr>
        <w:t xml:space="preserve"> </w:t>
      </w:r>
      <w:r w:rsidR="00822D3F">
        <w:rPr>
          <w:sz w:val="24"/>
          <w:szCs w:val="24"/>
        </w:rPr>
        <w:t>impérative.</w:t>
      </w:r>
    </w:p>
    <w:sectPr w:rsidR="00DF03BE" w:rsidSect="00130BBD">
      <w:footerReference w:type="default" r:id="rId8"/>
      <w:headerReference w:type="first" r:id="rId9"/>
      <w:footerReference w:type="first" r:id="rId10"/>
      <w:pgSz w:w="11906" w:h="16838"/>
      <w:pgMar w:top="1077" w:right="720" w:bottom="720" w:left="720" w:header="284" w:footer="3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E32" w:rsidRDefault="00572E32" w:rsidP="00280D81">
      <w:r>
        <w:separator/>
      </w:r>
    </w:p>
  </w:endnote>
  <w:endnote w:type="continuationSeparator" w:id="0">
    <w:p w:rsidR="00572E32" w:rsidRDefault="00572E32" w:rsidP="00280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630344"/>
      <w:docPartObj>
        <w:docPartGallery w:val="Page Numbers (Bottom of Page)"/>
        <w:docPartUnique/>
      </w:docPartObj>
    </w:sdtPr>
    <w:sdtContent>
      <w:p w:rsidR="00D41490" w:rsidRDefault="00F44762">
        <w:pPr>
          <w:pStyle w:val="Pieddepage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630345"/>
      <w:docPartObj>
        <w:docPartGallery w:val="Page Numbers (Bottom of Page)"/>
        <w:docPartUnique/>
      </w:docPartObj>
    </w:sdtPr>
    <w:sdtContent>
      <w:p w:rsidR="00D41490" w:rsidRDefault="00F44762" w:rsidP="00377212">
        <w:pPr>
          <w:pStyle w:val="Pieddepage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E32" w:rsidRDefault="00572E32" w:rsidP="00280D81">
      <w:r>
        <w:separator/>
      </w:r>
    </w:p>
  </w:footnote>
  <w:footnote w:type="continuationSeparator" w:id="0">
    <w:p w:rsidR="00572E32" w:rsidRDefault="00572E32" w:rsidP="00280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BD" w:rsidRDefault="00130BBD" w:rsidP="00130BBD">
    <w:pPr>
      <w:pStyle w:val="En-tte"/>
      <w:jc w:val="right"/>
    </w:pPr>
  </w:p>
  <w:p w:rsidR="00130BBD" w:rsidRDefault="00130BBD" w:rsidP="00130BBD">
    <w:pPr>
      <w:pStyle w:val="En-tte"/>
      <w:jc w:val="right"/>
    </w:pPr>
    <w:r>
      <w:t>06/09/2019</w:t>
    </w:r>
  </w:p>
  <w:p w:rsidR="00130BBD" w:rsidRDefault="00130BB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70745"/>
    <w:multiLevelType w:val="hybridMultilevel"/>
    <w:tmpl w:val="A266A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280D81"/>
    <w:rsid w:val="000047D8"/>
    <w:rsid w:val="00045EC9"/>
    <w:rsid w:val="00062FD1"/>
    <w:rsid w:val="000A50AC"/>
    <w:rsid w:val="000B3658"/>
    <w:rsid w:val="000C2FEA"/>
    <w:rsid w:val="000C794E"/>
    <w:rsid w:val="000D66B6"/>
    <w:rsid w:val="000F4614"/>
    <w:rsid w:val="00125AA5"/>
    <w:rsid w:val="00130BBD"/>
    <w:rsid w:val="00133A9D"/>
    <w:rsid w:val="0013716D"/>
    <w:rsid w:val="001513DB"/>
    <w:rsid w:val="0018508A"/>
    <w:rsid w:val="00192907"/>
    <w:rsid w:val="001C3411"/>
    <w:rsid w:val="001D52BC"/>
    <w:rsid w:val="001E33F8"/>
    <w:rsid w:val="002401EF"/>
    <w:rsid w:val="002469DC"/>
    <w:rsid w:val="00261187"/>
    <w:rsid w:val="00263F53"/>
    <w:rsid w:val="00271A59"/>
    <w:rsid w:val="00280D81"/>
    <w:rsid w:val="00284B13"/>
    <w:rsid w:val="002D3C40"/>
    <w:rsid w:val="002F1C6D"/>
    <w:rsid w:val="003271FC"/>
    <w:rsid w:val="00341C83"/>
    <w:rsid w:val="00344A02"/>
    <w:rsid w:val="00346BAA"/>
    <w:rsid w:val="00377212"/>
    <w:rsid w:val="003A52C1"/>
    <w:rsid w:val="003C7570"/>
    <w:rsid w:val="003D74DC"/>
    <w:rsid w:val="003F775C"/>
    <w:rsid w:val="003F7863"/>
    <w:rsid w:val="00405F96"/>
    <w:rsid w:val="004130DE"/>
    <w:rsid w:val="0046559E"/>
    <w:rsid w:val="00474EC5"/>
    <w:rsid w:val="004A5A96"/>
    <w:rsid w:val="004B41AB"/>
    <w:rsid w:val="004F35F0"/>
    <w:rsid w:val="005068D9"/>
    <w:rsid w:val="00530C27"/>
    <w:rsid w:val="00544F3A"/>
    <w:rsid w:val="00555F38"/>
    <w:rsid w:val="00570197"/>
    <w:rsid w:val="00572E32"/>
    <w:rsid w:val="005A14D6"/>
    <w:rsid w:val="005B552E"/>
    <w:rsid w:val="005D3D99"/>
    <w:rsid w:val="005F2144"/>
    <w:rsid w:val="006444FF"/>
    <w:rsid w:val="006515EB"/>
    <w:rsid w:val="00664B18"/>
    <w:rsid w:val="00693E83"/>
    <w:rsid w:val="006A3800"/>
    <w:rsid w:val="006B246A"/>
    <w:rsid w:val="006B2F34"/>
    <w:rsid w:val="006C08DC"/>
    <w:rsid w:val="006C6340"/>
    <w:rsid w:val="006C6586"/>
    <w:rsid w:val="00711C32"/>
    <w:rsid w:val="007134A0"/>
    <w:rsid w:val="00721088"/>
    <w:rsid w:val="00732D13"/>
    <w:rsid w:val="00737153"/>
    <w:rsid w:val="00740B5B"/>
    <w:rsid w:val="00746638"/>
    <w:rsid w:val="007706EA"/>
    <w:rsid w:val="007733A6"/>
    <w:rsid w:val="0079629C"/>
    <w:rsid w:val="00797E9D"/>
    <w:rsid w:val="007B05B5"/>
    <w:rsid w:val="007C0FAF"/>
    <w:rsid w:val="007F4F30"/>
    <w:rsid w:val="00800198"/>
    <w:rsid w:val="00817111"/>
    <w:rsid w:val="00820DFD"/>
    <w:rsid w:val="00822D3F"/>
    <w:rsid w:val="00826B4F"/>
    <w:rsid w:val="00834C77"/>
    <w:rsid w:val="00841595"/>
    <w:rsid w:val="00880A86"/>
    <w:rsid w:val="008A410C"/>
    <w:rsid w:val="008D4DA7"/>
    <w:rsid w:val="008D5F31"/>
    <w:rsid w:val="008F4D0A"/>
    <w:rsid w:val="009440A8"/>
    <w:rsid w:val="00952378"/>
    <w:rsid w:val="00975D6E"/>
    <w:rsid w:val="0097758C"/>
    <w:rsid w:val="00982F5A"/>
    <w:rsid w:val="009963A0"/>
    <w:rsid w:val="00997784"/>
    <w:rsid w:val="009C0AAC"/>
    <w:rsid w:val="009E7AD5"/>
    <w:rsid w:val="009F273F"/>
    <w:rsid w:val="009F5A9F"/>
    <w:rsid w:val="00A07A8C"/>
    <w:rsid w:val="00A35894"/>
    <w:rsid w:val="00A461A2"/>
    <w:rsid w:val="00A6513C"/>
    <w:rsid w:val="00A655EA"/>
    <w:rsid w:val="00A84E9B"/>
    <w:rsid w:val="00A878BA"/>
    <w:rsid w:val="00A92BF5"/>
    <w:rsid w:val="00AB43FC"/>
    <w:rsid w:val="00AB7F6B"/>
    <w:rsid w:val="00AD6B79"/>
    <w:rsid w:val="00AE24BB"/>
    <w:rsid w:val="00AE6925"/>
    <w:rsid w:val="00AF1375"/>
    <w:rsid w:val="00AF7EB3"/>
    <w:rsid w:val="00B10DED"/>
    <w:rsid w:val="00B20E7C"/>
    <w:rsid w:val="00B45858"/>
    <w:rsid w:val="00B807F5"/>
    <w:rsid w:val="00BA6F10"/>
    <w:rsid w:val="00BB4FB2"/>
    <w:rsid w:val="00BD2643"/>
    <w:rsid w:val="00C13B86"/>
    <w:rsid w:val="00C23ECA"/>
    <w:rsid w:val="00C31913"/>
    <w:rsid w:val="00C3256C"/>
    <w:rsid w:val="00C60485"/>
    <w:rsid w:val="00C653B8"/>
    <w:rsid w:val="00C67C82"/>
    <w:rsid w:val="00C7126B"/>
    <w:rsid w:val="00C822EC"/>
    <w:rsid w:val="00CC442A"/>
    <w:rsid w:val="00CD3D62"/>
    <w:rsid w:val="00D109B8"/>
    <w:rsid w:val="00D3571B"/>
    <w:rsid w:val="00D37472"/>
    <w:rsid w:val="00D41490"/>
    <w:rsid w:val="00D44886"/>
    <w:rsid w:val="00D45455"/>
    <w:rsid w:val="00D76FDD"/>
    <w:rsid w:val="00D86E5C"/>
    <w:rsid w:val="00DE0BA2"/>
    <w:rsid w:val="00DF03BE"/>
    <w:rsid w:val="00E30F9E"/>
    <w:rsid w:val="00E347D8"/>
    <w:rsid w:val="00E464E1"/>
    <w:rsid w:val="00E5480F"/>
    <w:rsid w:val="00E723B5"/>
    <w:rsid w:val="00E75D5D"/>
    <w:rsid w:val="00E83022"/>
    <w:rsid w:val="00EA036B"/>
    <w:rsid w:val="00EA3E51"/>
    <w:rsid w:val="00EA54E8"/>
    <w:rsid w:val="00EB02FB"/>
    <w:rsid w:val="00EF2E73"/>
    <w:rsid w:val="00F139C2"/>
    <w:rsid w:val="00F170F3"/>
    <w:rsid w:val="00F44762"/>
    <w:rsid w:val="00F620D6"/>
    <w:rsid w:val="00F76F8B"/>
    <w:rsid w:val="00F90EDA"/>
    <w:rsid w:val="00FA5769"/>
    <w:rsid w:val="00FC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513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13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14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0D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0D81"/>
  </w:style>
  <w:style w:type="paragraph" w:styleId="Pieddepage">
    <w:name w:val="footer"/>
    <w:basedOn w:val="Normal"/>
    <w:link w:val="PieddepageCar"/>
    <w:uiPriority w:val="99"/>
    <w:unhideWhenUsed/>
    <w:rsid w:val="00280D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0D81"/>
  </w:style>
  <w:style w:type="paragraph" w:styleId="Textedebulles">
    <w:name w:val="Balloon Text"/>
    <w:basedOn w:val="Normal"/>
    <w:link w:val="TextedebullesCar"/>
    <w:uiPriority w:val="99"/>
    <w:semiHidden/>
    <w:unhideWhenUsed/>
    <w:rsid w:val="00280D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D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80D81"/>
    <w:pPr>
      <w:spacing w:before="100" w:beforeAutospacing="1" w:after="119"/>
    </w:pPr>
    <w:rPr>
      <w:sz w:val="24"/>
      <w:szCs w:val="24"/>
    </w:rPr>
  </w:style>
  <w:style w:type="paragraph" w:customStyle="1" w:styleId="EspAv1">
    <w:name w:val="EspAv 1"/>
    <w:basedOn w:val="Normal"/>
    <w:uiPriority w:val="99"/>
    <w:qFormat/>
    <w:rsid w:val="00280D81"/>
    <w:pPr>
      <w:keepLines/>
      <w:spacing w:before="240"/>
      <w:jc w:val="both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5F214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1513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51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51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51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Sansinterligne">
    <w:name w:val="No Spacing"/>
    <w:uiPriority w:val="1"/>
    <w:qFormat/>
    <w:rsid w:val="0015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A14D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paragraph" w:customStyle="1" w:styleId="SNAutorit">
    <w:name w:val="SNAutorité"/>
    <w:basedOn w:val="Normal"/>
    <w:autoRedefine/>
    <w:uiPriority w:val="99"/>
    <w:qFormat/>
    <w:rsid w:val="00FA5769"/>
    <w:pPr>
      <w:jc w:val="center"/>
    </w:pPr>
    <w:rPr>
      <w:b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B807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07F5"/>
  </w:style>
  <w:style w:type="character" w:customStyle="1" w:styleId="CommentaireCar">
    <w:name w:val="Commentaire Car"/>
    <w:basedOn w:val="Policepardfaut"/>
    <w:link w:val="Commentaire"/>
    <w:uiPriority w:val="99"/>
    <w:semiHidden/>
    <w:rsid w:val="00B807F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07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07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B40F-AD13-4187-B1E4-F85AB71A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JACQUINOT Maxime - CIL3</dc:creator>
  <cp:lastModifiedBy>bourron</cp:lastModifiedBy>
  <cp:revision>5</cp:revision>
  <cp:lastPrinted>2019-07-29T09:53:00Z</cp:lastPrinted>
  <dcterms:created xsi:type="dcterms:W3CDTF">2019-09-06T16:00:00Z</dcterms:created>
  <dcterms:modified xsi:type="dcterms:W3CDTF">2019-09-06T17:11:00Z</dcterms:modified>
</cp:coreProperties>
</file>